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A45F78E" w:rsidR="0012388D" w:rsidRDefault="00772BDC" w:rsidP="00510B7A">
      <w:pPr>
        <w:spacing w:before="120" w:after="120"/>
        <w:rPr>
          <w:rFonts w:cs="Arial"/>
        </w:rPr>
      </w:pPr>
      <w:r>
        <w:rPr>
          <w:rFonts w:cs="Arial"/>
          <w:noProof/>
          <w:lang w:eastAsia="en-GB" w:bidi="ar-SA"/>
        </w:rPr>
        <w:drawing>
          <wp:inline distT="0" distB="0" distL="0" distR="0" wp14:anchorId="32DB846A" wp14:editId="3936B05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510B7A">
      <w:pPr>
        <w:spacing w:before="120" w:after="120"/>
        <w:rPr>
          <w:color w:val="FF0000"/>
        </w:rPr>
      </w:pPr>
    </w:p>
    <w:p w14:paraId="6A2AC4E8" w14:textId="07ACFEB2" w:rsidR="00A671E6" w:rsidRPr="00D6041D" w:rsidRDefault="00D6041D" w:rsidP="00510B7A">
      <w:pPr>
        <w:spacing w:before="120" w:after="120"/>
        <w:rPr>
          <w:b/>
          <w:sz w:val="28"/>
          <w:szCs w:val="28"/>
        </w:rPr>
      </w:pPr>
      <w:r w:rsidRPr="00D6041D">
        <w:rPr>
          <w:b/>
          <w:sz w:val="28"/>
          <w:szCs w:val="28"/>
        </w:rPr>
        <w:t>8 November</w:t>
      </w:r>
      <w:r w:rsidR="00A66FDD" w:rsidRPr="00D6041D">
        <w:rPr>
          <w:b/>
          <w:sz w:val="28"/>
          <w:szCs w:val="28"/>
        </w:rPr>
        <w:t xml:space="preserve"> 20</w:t>
      </w:r>
      <w:r w:rsidR="002B3C3C" w:rsidRPr="00D6041D">
        <w:rPr>
          <w:b/>
          <w:sz w:val="28"/>
          <w:szCs w:val="28"/>
        </w:rPr>
        <w:t>21</w:t>
      </w:r>
    </w:p>
    <w:p w14:paraId="3C77C31E" w14:textId="705905EF" w:rsidR="00A671E6" w:rsidRPr="00D6041D" w:rsidRDefault="00D6041D" w:rsidP="00510B7A">
      <w:pPr>
        <w:spacing w:before="120" w:after="120"/>
        <w:rPr>
          <w:b/>
          <w:sz w:val="28"/>
          <w:szCs w:val="28"/>
        </w:rPr>
      </w:pPr>
      <w:r w:rsidRPr="00D6041D">
        <w:rPr>
          <w:b/>
          <w:sz w:val="28"/>
          <w:szCs w:val="28"/>
        </w:rPr>
        <w:t>177-21</w:t>
      </w:r>
    </w:p>
    <w:p w14:paraId="63744F20" w14:textId="09DAB4CE" w:rsidR="003A7B84" w:rsidRPr="00CA5734" w:rsidRDefault="00B425AA" w:rsidP="00DE5CC1">
      <w:pPr>
        <w:pStyle w:val="FSTitle"/>
        <w:spacing w:before="120" w:after="120"/>
      </w:pPr>
      <w:r w:rsidRPr="00EE76E1">
        <w:rPr>
          <w:b/>
        </w:rPr>
        <w:t>A</w:t>
      </w:r>
      <w:r w:rsidR="00DD265C" w:rsidRPr="00EE76E1">
        <w:rPr>
          <w:b/>
        </w:rPr>
        <w:t>pproval</w:t>
      </w:r>
      <w:r w:rsidRPr="00EE76E1">
        <w:rPr>
          <w:b/>
        </w:rPr>
        <w:t xml:space="preserve"> </w:t>
      </w:r>
      <w:r w:rsidR="00B412A1">
        <w:rPr>
          <w:b/>
        </w:rPr>
        <w:t>R</w:t>
      </w:r>
      <w:r w:rsidR="00B412A1" w:rsidRPr="00EE76E1">
        <w:rPr>
          <w:b/>
        </w:rPr>
        <w:t xml:space="preserve">eport </w:t>
      </w:r>
      <w:r w:rsidRPr="00EE76E1">
        <w:rPr>
          <w:b/>
        </w:rPr>
        <w:t>–</w:t>
      </w:r>
      <w:r w:rsidRPr="000B427A">
        <w:t xml:space="preserve"> </w:t>
      </w:r>
      <w:r w:rsidR="00EE76E1" w:rsidRPr="004F721D">
        <w:rPr>
          <w:b/>
        </w:rPr>
        <w:t>Application A1190</w:t>
      </w:r>
    </w:p>
    <w:p w14:paraId="45694E27" w14:textId="77777777" w:rsidR="00EE76E1" w:rsidRPr="004F721D" w:rsidRDefault="00EE76E1" w:rsidP="00510B7A">
      <w:pPr>
        <w:pStyle w:val="FSTitle"/>
        <w:widowControl/>
        <w:spacing w:before="120" w:after="120"/>
      </w:pPr>
      <w:r w:rsidRPr="00FD4EC3">
        <w:t xml:space="preserve">2′-FL </w:t>
      </w:r>
      <w:r w:rsidRPr="004F721D">
        <w:t>in infant formula and other products</w:t>
      </w:r>
    </w:p>
    <w:p w14:paraId="79002CFB" w14:textId="77777777" w:rsidR="003A7B84" w:rsidRPr="00E327A6" w:rsidRDefault="003A7B84" w:rsidP="00510B7A">
      <w:pPr>
        <w:pBdr>
          <w:bottom w:val="single" w:sz="12" w:space="1" w:color="auto"/>
        </w:pBdr>
        <w:tabs>
          <w:tab w:val="left" w:pos="1140"/>
        </w:tabs>
        <w:spacing w:before="120" w:after="120"/>
        <w:rPr>
          <w:rFonts w:cs="Arial"/>
          <w:bCs/>
        </w:rPr>
      </w:pPr>
    </w:p>
    <w:p w14:paraId="14F32D9E" w14:textId="461FA03F" w:rsidR="00CA5734" w:rsidRPr="00DE5CC1" w:rsidRDefault="00EE76E1" w:rsidP="00510B7A">
      <w:pPr>
        <w:spacing w:before="120" w:after="120"/>
        <w:rPr>
          <w:szCs w:val="22"/>
        </w:rPr>
      </w:pPr>
      <w:r w:rsidRPr="0052465A">
        <w:rPr>
          <w:szCs w:val="22"/>
        </w:rPr>
        <w:t xml:space="preserve">Food Standards Australia New Zealand (FSANZ) </w:t>
      </w:r>
      <w:r w:rsidRPr="00EE76E1">
        <w:rPr>
          <w:szCs w:val="22"/>
        </w:rPr>
        <w:t>has assessed</w:t>
      </w:r>
      <w:r w:rsidR="00E3157C">
        <w:rPr>
          <w:szCs w:val="22"/>
        </w:rPr>
        <w:t xml:space="preserve"> an application</w:t>
      </w:r>
      <w:r w:rsidRPr="00EE76E1">
        <w:rPr>
          <w:szCs w:val="22"/>
        </w:rPr>
        <w:t xml:space="preserve"> </w:t>
      </w:r>
      <w:r w:rsidR="00B81A42">
        <w:t>by Chr. Hansen A/S</w:t>
      </w:r>
      <w:r w:rsidRPr="00EE76E1">
        <w:rPr>
          <w:rStyle w:val="FootnoteReference"/>
          <w:szCs w:val="22"/>
        </w:rPr>
        <w:footnoteReference w:id="2"/>
      </w:r>
      <w:r>
        <w:rPr>
          <w:szCs w:val="22"/>
        </w:rPr>
        <w:t>.</w:t>
      </w:r>
      <w:r w:rsidRPr="00EE76E1">
        <w:rPr>
          <w:szCs w:val="22"/>
        </w:rPr>
        <w:t xml:space="preserve"> </w:t>
      </w:r>
      <w:r w:rsidR="005F1E79">
        <w:rPr>
          <w:szCs w:val="22"/>
        </w:rPr>
        <w:t>The Application</w:t>
      </w:r>
      <w:r w:rsidRPr="00EE76E1">
        <w:rPr>
          <w:szCs w:val="22"/>
        </w:rPr>
        <w:t xml:space="preserve"> is seeking to permit the voluntary addition of 2′-fucosyllactose (2′-FL), produced via new genetically modified </w:t>
      </w:r>
      <w:r w:rsidRPr="00EE76E1">
        <w:rPr>
          <w:i/>
          <w:szCs w:val="22"/>
        </w:rPr>
        <w:t>Escherichia coli</w:t>
      </w:r>
      <w:r w:rsidRPr="00EE76E1">
        <w:rPr>
          <w:szCs w:val="22"/>
        </w:rPr>
        <w:t xml:space="preserve"> </w:t>
      </w:r>
      <w:r w:rsidR="0054767B">
        <w:t xml:space="preserve">BL21 </w:t>
      </w:r>
      <w:r w:rsidRPr="00EE76E1">
        <w:rPr>
          <w:szCs w:val="22"/>
        </w:rPr>
        <w:t>strain</w:t>
      </w:r>
      <w:r w:rsidR="0054767B">
        <w:rPr>
          <w:szCs w:val="22"/>
        </w:rPr>
        <w:t>s</w:t>
      </w:r>
      <w:r w:rsidRPr="00EE76E1">
        <w:rPr>
          <w:szCs w:val="22"/>
        </w:rPr>
        <w:t>, in infant formula products (which includes infant formula, follow-on formula and infant formula products for special dietary uses) and formulated supplementary foods for young children.</w:t>
      </w:r>
      <w:r w:rsidR="00DE5CC1">
        <w:rPr>
          <w:szCs w:val="22"/>
        </w:rPr>
        <w:t xml:space="preserve"> </w:t>
      </w:r>
    </w:p>
    <w:p w14:paraId="6F926C97" w14:textId="6C6C4D06" w:rsidR="00CA5734" w:rsidRDefault="00081B0A" w:rsidP="00510B7A">
      <w:pPr>
        <w:spacing w:before="120" w:after="120"/>
      </w:pPr>
      <w:r w:rsidRPr="00EE76E1">
        <w:t xml:space="preserve">On </w:t>
      </w:r>
      <w:r w:rsidR="00EE76E1" w:rsidRPr="00EE76E1">
        <w:t>22 July 2021,</w:t>
      </w:r>
      <w:r w:rsidRPr="00EE76E1">
        <w:t xml:space="preserve"> FSANZ sought </w:t>
      </w:r>
      <w:hyperlink r:id="rId16" w:history="1">
        <w:r w:rsidR="003A7B84" w:rsidRPr="00BB7D89">
          <w:rPr>
            <w:rStyle w:val="Hyperlink"/>
          </w:rPr>
          <w:t>submissions</w:t>
        </w:r>
      </w:hyperlink>
      <w:r w:rsidR="003A7B84" w:rsidRPr="00EE76E1">
        <w:t xml:space="preserve"> </w:t>
      </w:r>
      <w:r w:rsidR="00A671E6" w:rsidRPr="00EE76E1">
        <w:t xml:space="preserve">on </w:t>
      </w:r>
      <w:r w:rsidR="00F526BD" w:rsidRPr="00EE76E1">
        <w:t xml:space="preserve">a draft </w:t>
      </w:r>
      <w:r w:rsidR="00EE76E1" w:rsidRPr="00EE76E1">
        <w:t>variation</w:t>
      </w:r>
      <w:r w:rsidR="003A7B84" w:rsidRPr="00EE76E1">
        <w:t xml:space="preserve"> and published an </w:t>
      </w:r>
      <w:r w:rsidR="00EC21DF" w:rsidRPr="00EE76E1">
        <w:t>associated r</w:t>
      </w:r>
      <w:r w:rsidR="003A7B84" w:rsidRPr="00EE76E1">
        <w:t>eport</w:t>
      </w:r>
      <w:r w:rsidRPr="00EE76E1">
        <w:t>.</w:t>
      </w:r>
      <w:r w:rsidR="00F526BD" w:rsidRPr="00EE76E1">
        <w:t xml:space="preserve"> FSANZ received </w:t>
      </w:r>
      <w:r w:rsidR="00EE76E1">
        <w:t xml:space="preserve">10 </w:t>
      </w:r>
      <w:r w:rsidR="00F526BD" w:rsidRPr="00EE76E1">
        <w:t>submissions.</w:t>
      </w:r>
    </w:p>
    <w:p w14:paraId="01ACD97C" w14:textId="77777777" w:rsidR="00D6041D" w:rsidRDefault="00D6041D" w:rsidP="00D6041D">
      <w:r>
        <w:t xml:space="preserve">FSANZ </w:t>
      </w:r>
      <w:r w:rsidRPr="009015F7">
        <w:t xml:space="preserve">approved the draft variation </w:t>
      </w:r>
      <w:r w:rsidRPr="00B316B9">
        <w:t xml:space="preserve">on 27 October 2021.The </w:t>
      </w:r>
      <w:r w:rsidRPr="00B316B9">
        <w:rPr>
          <w:rFonts w:cs="Helvetica"/>
          <w:lang w:val="en-AU"/>
        </w:rPr>
        <w:t>Food Ministers’ Meeting</w:t>
      </w:r>
      <w:r w:rsidRPr="00B316B9">
        <w:rPr>
          <w:rStyle w:val="FootnoteReference"/>
          <w:rFonts w:cs="Helvetica"/>
          <w:lang w:val="en-AU"/>
        </w:rPr>
        <w:footnoteReference w:id="3"/>
      </w:r>
      <w:r w:rsidRPr="00B316B9">
        <w:t xml:space="preserve"> was notified of FSANZ’s decision on 8 November 2021</w:t>
      </w:r>
      <w:r>
        <w:t>.</w:t>
      </w:r>
    </w:p>
    <w:p w14:paraId="633BC3D5" w14:textId="2B966993" w:rsidR="00F526BD" w:rsidRDefault="003A7B84" w:rsidP="00510B7A">
      <w:pPr>
        <w:spacing w:before="120" w:after="120"/>
      </w:pPr>
      <w:r w:rsidRPr="00EE76E1">
        <w:t>This R</w:t>
      </w:r>
      <w:r w:rsidR="00B425AA" w:rsidRPr="00EE76E1">
        <w:t xml:space="preserve">eport is provided pursuant to </w:t>
      </w:r>
      <w:r w:rsidR="009A2699" w:rsidRPr="00EE76E1">
        <w:t>paragraph</w:t>
      </w:r>
      <w:r w:rsidR="00081B0A" w:rsidRPr="00EE76E1">
        <w:t xml:space="preserve"> 33(1)(b) of the </w:t>
      </w:r>
      <w:r w:rsidR="00081B0A" w:rsidRPr="0012388D">
        <w:rPr>
          <w:i/>
        </w:rPr>
        <w:t>Food Standards Australia New Zealand Act 1991</w:t>
      </w:r>
      <w:r w:rsidR="00081B0A">
        <w:t xml:space="preserve"> (the FSANZ Act).</w:t>
      </w:r>
    </w:p>
    <w:p w14:paraId="06D4B33A" w14:textId="77777777" w:rsidR="00EB6590" w:rsidRDefault="00EB6590" w:rsidP="00510B7A">
      <w:pPr>
        <w:spacing w:before="120" w:after="120"/>
      </w:pPr>
    </w:p>
    <w:p w14:paraId="28EC5A50" w14:textId="77777777" w:rsidR="00A671E6" w:rsidRDefault="00A671E6" w:rsidP="00510B7A">
      <w:pPr>
        <w:spacing w:before="120" w:after="120"/>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510B7A">
      <w:pPr>
        <w:spacing w:before="120" w:after="120"/>
        <w:jc w:val="center"/>
        <w:rPr>
          <w:sz w:val="28"/>
          <w:szCs w:val="28"/>
        </w:rPr>
      </w:pPr>
      <w:bookmarkStart w:id="0" w:name="_GoBack"/>
      <w:bookmarkEnd w:id="0"/>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510B7A">
      <w:pPr>
        <w:spacing w:before="120" w:after="120"/>
        <w:rPr>
          <w:rFonts w:cs="Arial"/>
          <w:sz w:val="20"/>
          <w:szCs w:val="20"/>
        </w:rPr>
      </w:pPr>
    </w:p>
    <w:p w14:paraId="254F39C0" w14:textId="49B60096" w:rsidR="00FA3C55"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81995080" w:history="1">
        <w:r w:rsidR="00FA3C55" w:rsidRPr="008C0C15">
          <w:rPr>
            <w:rStyle w:val="Hyperlink"/>
            <w:noProof/>
          </w:rPr>
          <w:t>Executive summary</w:t>
        </w:r>
        <w:r w:rsidR="00FA3C55">
          <w:rPr>
            <w:noProof/>
            <w:webHidden/>
          </w:rPr>
          <w:tab/>
        </w:r>
        <w:r w:rsidR="00FA3C55">
          <w:rPr>
            <w:noProof/>
            <w:webHidden/>
          </w:rPr>
          <w:fldChar w:fldCharType="begin"/>
        </w:r>
        <w:r w:rsidR="00FA3C55">
          <w:rPr>
            <w:noProof/>
            <w:webHidden/>
          </w:rPr>
          <w:instrText xml:space="preserve"> PAGEREF _Toc81995080 \h </w:instrText>
        </w:r>
        <w:r w:rsidR="00FA3C55">
          <w:rPr>
            <w:noProof/>
            <w:webHidden/>
          </w:rPr>
        </w:r>
        <w:r w:rsidR="00FA3C55">
          <w:rPr>
            <w:noProof/>
            <w:webHidden/>
          </w:rPr>
          <w:fldChar w:fldCharType="separate"/>
        </w:r>
        <w:r w:rsidR="00FA3C55">
          <w:rPr>
            <w:noProof/>
            <w:webHidden/>
          </w:rPr>
          <w:t>3</w:t>
        </w:r>
        <w:r w:rsidR="00FA3C55">
          <w:rPr>
            <w:noProof/>
            <w:webHidden/>
          </w:rPr>
          <w:fldChar w:fldCharType="end"/>
        </w:r>
      </w:hyperlink>
    </w:p>
    <w:p w14:paraId="6B673651" w14:textId="60F59D23"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081" w:history="1">
        <w:r w:rsidR="00FA3C55" w:rsidRPr="008C0C15">
          <w:rPr>
            <w:rStyle w:val="Hyperlink"/>
            <w:noProof/>
          </w:rPr>
          <w:t>1</w:t>
        </w:r>
        <w:r w:rsidR="00FA3C55">
          <w:rPr>
            <w:rFonts w:eastAsiaTheme="minorEastAsia" w:cstheme="minorBidi"/>
            <w:b w:val="0"/>
            <w:bCs w:val="0"/>
            <w:caps w:val="0"/>
            <w:noProof/>
            <w:sz w:val="22"/>
            <w:szCs w:val="22"/>
            <w:lang w:eastAsia="en-GB" w:bidi="ar-SA"/>
          </w:rPr>
          <w:tab/>
        </w:r>
        <w:r w:rsidR="00FA3C55" w:rsidRPr="008C0C15">
          <w:rPr>
            <w:rStyle w:val="Hyperlink"/>
            <w:noProof/>
          </w:rPr>
          <w:t>Introduction</w:t>
        </w:r>
        <w:r w:rsidR="00FA3C55">
          <w:rPr>
            <w:noProof/>
            <w:webHidden/>
          </w:rPr>
          <w:tab/>
        </w:r>
        <w:r w:rsidR="00FA3C55">
          <w:rPr>
            <w:noProof/>
            <w:webHidden/>
          </w:rPr>
          <w:fldChar w:fldCharType="begin"/>
        </w:r>
        <w:r w:rsidR="00FA3C55">
          <w:rPr>
            <w:noProof/>
            <w:webHidden/>
          </w:rPr>
          <w:instrText xml:space="preserve"> PAGEREF _Toc81995081 \h </w:instrText>
        </w:r>
        <w:r w:rsidR="00FA3C55">
          <w:rPr>
            <w:noProof/>
            <w:webHidden/>
          </w:rPr>
        </w:r>
        <w:r w:rsidR="00FA3C55">
          <w:rPr>
            <w:noProof/>
            <w:webHidden/>
          </w:rPr>
          <w:fldChar w:fldCharType="separate"/>
        </w:r>
        <w:r w:rsidR="00FA3C55">
          <w:rPr>
            <w:noProof/>
            <w:webHidden/>
          </w:rPr>
          <w:t>5</w:t>
        </w:r>
        <w:r w:rsidR="00FA3C55">
          <w:rPr>
            <w:noProof/>
            <w:webHidden/>
          </w:rPr>
          <w:fldChar w:fldCharType="end"/>
        </w:r>
      </w:hyperlink>
    </w:p>
    <w:p w14:paraId="719BAAC6" w14:textId="094D0B37"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2" w:history="1">
        <w:r w:rsidR="00FA3C55" w:rsidRPr="008C0C15">
          <w:rPr>
            <w:rStyle w:val="Hyperlink"/>
            <w:noProof/>
          </w:rPr>
          <w:t>1.1</w:t>
        </w:r>
        <w:r w:rsidR="00FA3C55">
          <w:rPr>
            <w:rFonts w:eastAsiaTheme="minorEastAsia" w:cstheme="minorBidi"/>
            <w:smallCaps w:val="0"/>
            <w:noProof/>
            <w:sz w:val="22"/>
            <w:szCs w:val="22"/>
            <w:lang w:eastAsia="en-GB" w:bidi="ar-SA"/>
          </w:rPr>
          <w:tab/>
        </w:r>
        <w:r w:rsidR="00FA3C55" w:rsidRPr="008C0C15">
          <w:rPr>
            <w:rStyle w:val="Hyperlink"/>
            <w:noProof/>
          </w:rPr>
          <w:t>The Applicant</w:t>
        </w:r>
        <w:r w:rsidR="00FA3C55">
          <w:rPr>
            <w:noProof/>
            <w:webHidden/>
          </w:rPr>
          <w:tab/>
        </w:r>
        <w:r w:rsidR="00FA3C55">
          <w:rPr>
            <w:noProof/>
            <w:webHidden/>
          </w:rPr>
          <w:fldChar w:fldCharType="begin"/>
        </w:r>
        <w:r w:rsidR="00FA3C55">
          <w:rPr>
            <w:noProof/>
            <w:webHidden/>
          </w:rPr>
          <w:instrText xml:space="preserve"> PAGEREF _Toc81995082 \h </w:instrText>
        </w:r>
        <w:r w:rsidR="00FA3C55">
          <w:rPr>
            <w:noProof/>
            <w:webHidden/>
          </w:rPr>
        </w:r>
        <w:r w:rsidR="00FA3C55">
          <w:rPr>
            <w:noProof/>
            <w:webHidden/>
          </w:rPr>
          <w:fldChar w:fldCharType="separate"/>
        </w:r>
        <w:r w:rsidR="00FA3C55">
          <w:rPr>
            <w:noProof/>
            <w:webHidden/>
          </w:rPr>
          <w:t>5</w:t>
        </w:r>
        <w:r w:rsidR="00FA3C55">
          <w:rPr>
            <w:noProof/>
            <w:webHidden/>
          </w:rPr>
          <w:fldChar w:fldCharType="end"/>
        </w:r>
      </w:hyperlink>
    </w:p>
    <w:p w14:paraId="7BF356C0" w14:textId="0C4B8165"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3" w:history="1">
        <w:r w:rsidR="00FA3C55" w:rsidRPr="008C0C15">
          <w:rPr>
            <w:rStyle w:val="Hyperlink"/>
            <w:noProof/>
          </w:rPr>
          <w:t>1.2</w:t>
        </w:r>
        <w:r w:rsidR="00FA3C55">
          <w:rPr>
            <w:rFonts w:eastAsiaTheme="minorEastAsia" w:cstheme="minorBidi"/>
            <w:smallCaps w:val="0"/>
            <w:noProof/>
            <w:sz w:val="22"/>
            <w:szCs w:val="22"/>
            <w:lang w:eastAsia="en-GB" w:bidi="ar-SA"/>
          </w:rPr>
          <w:tab/>
        </w:r>
        <w:r w:rsidR="005F1E79">
          <w:rPr>
            <w:rStyle w:val="Hyperlink"/>
            <w:noProof/>
          </w:rPr>
          <w:t>The Application</w:t>
        </w:r>
        <w:r w:rsidR="00FA3C55">
          <w:rPr>
            <w:noProof/>
            <w:webHidden/>
          </w:rPr>
          <w:tab/>
        </w:r>
        <w:r w:rsidR="00FA3C55">
          <w:rPr>
            <w:noProof/>
            <w:webHidden/>
          </w:rPr>
          <w:fldChar w:fldCharType="begin"/>
        </w:r>
        <w:r w:rsidR="00FA3C55">
          <w:rPr>
            <w:noProof/>
            <w:webHidden/>
          </w:rPr>
          <w:instrText xml:space="preserve"> PAGEREF _Toc81995083 \h </w:instrText>
        </w:r>
        <w:r w:rsidR="00FA3C55">
          <w:rPr>
            <w:noProof/>
            <w:webHidden/>
          </w:rPr>
        </w:r>
        <w:r w:rsidR="00FA3C55">
          <w:rPr>
            <w:noProof/>
            <w:webHidden/>
          </w:rPr>
          <w:fldChar w:fldCharType="separate"/>
        </w:r>
        <w:r w:rsidR="00FA3C55">
          <w:rPr>
            <w:noProof/>
            <w:webHidden/>
          </w:rPr>
          <w:t>5</w:t>
        </w:r>
        <w:r w:rsidR="00FA3C55">
          <w:rPr>
            <w:noProof/>
            <w:webHidden/>
          </w:rPr>
          <w:fldChar w:fldCharType="end"/>
        </w:r>
      </w:hyperlink>
    </w:p>
    <w:p w14:paraId="41540873" w14:textId="59A185BD"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4" w:history="1">
        <w:r w:rsidR="00FA3C55" w:rsidRPr="008C0C15">
          <w:rPr>
            <w:rStyle w:val="Hyperlink"/>
            <w:noProof/>
          </w:rPr>
          <w:t>1.3</w:t>
        </w:r>
        <w:r w:rsidR="00FA3C55">
          <w:rPr>
            <w:rFonts w:eastAsiaTheme="minorEastAsia" w:cstheme="minorBidi"/>
            <w:smallCaps w:val="0"/>
            <w:noProof/>
            <w:sz w:val="22"/>
            <w:szCs w:val="22"/>
            <w:lang w:eastAsia="en-GB" w:bidi="ar-SA"/>
          </w:rPr>
          <w:tab/>
        </w:r>
        <w:r w:rsidR="00FA3C55" w:rsidRPr="008C0C15">
          <w:rPr>
            <w:rStyle w:val="Hyperlink"/>
            <w:noProof/>
          </w:rPr>
          <w:t>The current relevant Standards</w:t>
        </w:r>
        <w:r w:rsidR="00FA3C55">
          <w:rPr>
            <w:noProof/>
            <w:webHidden/>
          </w:rPr>
          <w:tab/>
        </w:r>
        <w:r w:rsidR="00FA3C55">
          <w:rPr>
            <w:noProof/>
            <w:webHidden/>
          </w:rPr>
          <w:fldChar w:fldCharType="begin"/>
        </w:r>
        <w:r w:rsidR="00FA3C55">
          <w:rPr>
            <w:noProof/>
            <w:webHidden/>
          </w:rPr>
          <w:instrText xml:space="preserve"> PAGEREF _Toc81995084 \h </w:instrText>
        </w:r>
        <w:r w:rsidR="00FA3C55">
          <w:rPr>
            <w:noProof/>
            <w:webHidden/>
          </w:rPr>
        </w:r>
        <w:r w:rsidR="00FA3C55">
          <w:rPr>
            <w:noProof/>
            <w:webHidden/>
          </w:rPr>
          <w:fldChar w:fldCharType="separate"/>
        </w:r>
        <w:r w:rsidR="00FA3C55">
          <w:rPr>
            <w:noProof/>
            <w:webHidden/>
          </w:rPr>
          <w:t>5</w:t>
        </w:r>
        <w:r w:rsidR="00FA3C55">
          <w:rPr>
            <w:noProof/>
            <w:webHidden/>
          </w:rPr>
          <w:fldChar w:fldCharType="end"/>
        </w:r>
      </w:hyperlink>
    </w:p>
    <w:p w14:paraId="4FD4F1A1" w14:textId="64766558"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85" w:history="1">
        <w:r w:rsidR="00FA3C55" w:rsidRPr="008C0C15">
          <w:rPr>
            <w:rStyle w:val="Hyperlink"/>
            <w:noProof/>
          </w:rPr>
          <w:t>1.3.1</w:t>
        </w:r>
        <w:r w:rsidR="00FA3C55">
          <w:rPr>
            <w:rFonts w:eastAsiaTheme="minorEastAsia" w:cstheme="minorBidi"/>
            <w:i w:val="0"/>
            <w:iCs w:val="0"/>
            <w:noProof/>
            <w:sz w:val="22"/>
            <w:szCs w:val="22"/>
            <w:lang w:eastAsia="en-GB" w:bidi="ar-SA"/>
          </w:rPr>
          <w:tab/>
        </w:r>
        <w:r w:rsidR="00FA3C55" w:rsidRPr="008C0C15">
          <w:rPr>
            <w:rStyle w:val="Hyperlink"/>
            <w:noProof/>
          </w:rPr>
          <w:t>Australia and New Zealand Food Standards Code (the Code)</w:t>
        </w:r>
        <w:r w:rsidR="00FA3C55">
          <w:rPr>
            <w:noProof/>
            <w:webHidden/>
          </w:rPr>
          <w:tab/>
        </w:r>
        <w:r w:rsidR="00FA3C55">
          <w:rPr>
            <w:noProof/>
            <w:webHidden/>
          </w:rPr>
          <w:fldChar w:fldCharType="begin"/>
        </w:r>
        <w:r w:rsidR="00FA3C55">
          <w:rPr>
            <w:noProof/>
            <w:webHidden/>
          </w:rPr>
          <w:instrText xml:space="preserve"> PAGEREF _Toc81995085 \h </w:instrText>
        </w:r>
        <w:r w:rsidR="00FA3C55">
          <w:rPr>
            <w:noProof/>
            <w:webHidden/>
          </w:rPr>
        </w:r>
        <w:r w:rsidR="00FA3C55">
          <w:rPr>
            <w:noProof/>
            <w:webHidden/>
          </w:rPr>
          <w:fldChar w:fldCharType="separate"/>
        </w:r>
        <w:r w:rsidR="00FA3C55">
          <w:rPr>
            <w:noProof/>
            <w:webHidden/>
          </w:rPr>
          <w:t>5</w:t>
        </w:r>
        <w:r w:rsidR="00FA3C55">
          <w:rPr>
            <w:noProof/>
            <w:webHidden/>
          </w:rPr>
          <w:fldChar w:fldCharType="end"/>
        </w:r>
      </w:hyperlink>
    </w:p>
    <w:p w14:paraId="37467CC3" w14:textId="0E99AD8B"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86" w:history="1">
        <w:r w:rsidR="00FA3C55" w:rsidRPr="008C0C15">
          <w:rPr>
            <w:rStyle w:val="Hyperlink"/>
            <w:noProof/>
          </w:rPr>
          <w:t>1.3.2</w:t>
        </w:r>
        <w:r w:rsidR="00FA3C55">
          <w:rPr>
            <w:rFonts w:eastAsiaTheme="minorEastAsia" w:cstheme="minorBidi"/>
            <w:i w:val="0"/>
            <w:iCs w:val="0"/>
            <w:noProof/>
            <w:sz w:val="22"/>
            <w:szCs w:val="22"/>
            <w:lang w:eastAsia="en-GB" w:bidi="ar-SA"/>
          </w:rPr>
          <w:tab/>
        </w:r>
        <w:r w:rsidR="00FA3C55" w:rsidRPr="008C0C15">
          <w:rPr>
            <w:rStyle w:val="Hyperlink"/>
            <w:noProof/>
          </w:rPr>
          <w:t>Regulations for 2′-FL in other countries</w:t>
        </w:r>
        <w:r w:rsidR="00FA3C55">
          <w:rPr>
            <w:noProof/>
            <w:webHidden/>
          </w:rPr>
          <w:tab/>
        </w:r>
        <w:r w:rsidR="00FA3C55">
          <w:rPr>
            <w:noProof/>
            <w:webHidden/>
          </w:rPr>
          <w:fldChar w:fldCharType="begin"/>
        </w:r>
        <w:r w:rsidR="00FA3C55">
          <w:rPr>
            <w:noProof/>
            <w:webHidden/>
          </w:rPr>
          <w:instrText xml:space="preserve"> PAGEREF _Toc81995086 \h </w:instrText>
        </w:r>
        <w:r w:rsidR="00FA3C55">
          <w:rPr>
            <w:noProof/>
            <w:webHidden/>
          </w:rPr>
        </w:r>
        <w:r w:rsidR="00FA3C55">
          <w:rPr>
            <w:noProof/>
            <w:webHidden/>
          </w:rPr>
          <w:fldChar w:fldCharType="separate"/>
        </w:r>
        <w:r w:rsidR="00FA3C55">
          <w:rPr>
            <w:noProof/>
            <w:webHidden/>
          </w:rPr>
          <w:t>7</w:t>
        </w:r>
        <w:r w:rsidR="00FA3C55">
          <w:rPr>
            <w:noProof/>
            <w:webHidden/>
          </w:rPr>
          <w:fldChar w:fldCharType="end"/>
        </w:r>
      </w:hyperlink>
    </w:p>
    <w:p w14:paraId="262D256D" w14:textId="38D1D1A5"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7" w:history="1">
        <w:r w:rsidR="00FA3C55" w:rsidRPr="008C0C15">
          <w:rPr>
            <w:rStyle w:val="Hyperlink"/>
            <w:noProof/>
          </w:rPr>
          <w:t>1.4</w:t>
        </w:r>
        <w:r w:rsidR="00FA3C55">
          <w:rPr>
            <w:rFonts w:eastAsiaTheme="minorEastAsia" w:cstheme="minorBidi"/>
            <w:smallCaps w:val="0"/>
            <w:noProof/>
            <w:sz w:val="22"/>
            <w:szCs w:val="22"/>
            <w:lang w:eastAsia="en-GB" w:bidi="ar-SA"/>
          </w:rPr>
          <w:tab/>
        </w:r>
        <w:r w:rsidR="00FA3C55" w:rsidRPr="008C0C15">
          <w:rPr>
            <w:rStyle w:val="Hyperlink"/>
            <w:noProof/>
          </w:rPr>
          <w:t>Reasons for accepting Application</w:t>
        </w:r>
        <w:r w:rsidR="00FA3C55">
          <w:rPr>
            <w:noProof/>
            <w:webHidden/>
          </w:rPr>
          <w:tab/>
        </w:r>
        <w:r w:rsidR="00FA3C55">
          <w:rPr>
            <w:noProof/>
            <w:webHidden/>
          </w:rPr>
          <w:fldChar w:fldCharType="begin"/>
        </w:r>
        <w:r w:rsidR="00FA3C55">
          <w:rPr>
            <w:noProof/>
            <w:webHidden/>
          </w:rPr>
          <w:instrText xml:space="preserve"> PAGEREF _Toc81995087 \h </w:instrText>
        </w:r>
        <w:r w:rsidR="00FA3C55">
          <w:rPr>
            <w:noProof/>
            <w:webHidden/>
          </w:rPr>
        </w:r>
        <w:r w:rsidR="00FA3C55">
          <w:rPr>
            <w:noProof/>
            <w:webHidden/>
          </w:rPr>
          <w:fldChar w:fldCharType="separate"/>
        </w:r>
        <w:r w:rsidR="00FA3C55">
          <w:rPr>
            <w:noProof/>
            <w:webHidden/>
          </w:rPr>
          <w:t>10</w:t>
        </w:r>
        <w:r w:rsidR="00FA3C55">
          <w:rPr>
            <w:noProof/>
            <w:webHidden/>
          </w:rPr>
          <w:fldChar w:fldCharType="end"/>
        </w:r>
      </w:hyperlink>
    </w:p>
    <w:p w14:paraId="2D017F3F" w14:textId="0DBD4393"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8" w:history="1">
        <w:r w:rsidR="00FA3C55" w:rsidRPr="008C0C15">
          <w:rPr>
            <w:rStyle w:val="Hyperlink"/>
            <w:noProof/>
          </w:rPr>
          <w:t>1.5</w:t>
        </w:r>
        <w:r w:rsidR="00FA3C55">
          <w:rPr>
            <w:rFonts w:eastAsiaTheme="minorEastAsia" w:cstheme="minorBidi"/>
            <w:smallCaps w:val="0"/>
            <w:noProof/>
            <w:sz w:val="22"/>
            <w:szCs w:val="22"/>
            <w:lang w:eastAsia="en-GB" w:bidi="ar-SA"/>
          </w:rPr>
          <w:tab/>
        </w:r>
        <w:r w:rsidR="00FA3C55" w:rsidRPr="008C0C15">
          <w:rPr>
            <w:rStyle w:val="Hyperlink"/>
            <w:noProof/>
          </w:rPr>
          <w:t>Procedure for assessment</w:t>
        </w:r>
        <w:r w:rsidR="00FA3C55">
          <w:rPr>
            <w:noProof/>
            <w:webHidden/>
          </w:rPr>
          <w:tab/>
        </w:r>
        <w:r w:rsidR="00FA3C55">
          <w:rPr>
            <w:noProof/>
            <w:webHidden/>
          </w:rPr>
          <w:fldChar w:fldCharType="begin"/>
        </w:r>
        <w:r w:rsidR="00FA3C55">
          <w:rPr>
            <w:noProof/>
            <w:webHidden/>
          </w:rPr>
          <w:instrText xml:space="preserve"> PAGEREF _Toc81995088 \h </w:instrText>
        </w:r>
        <w:r w:rsidR="00FA3C55">
          <w:rPr>
            <w:noProof/>
            <w:webHidden/>
          </w:rPr>
        </w:r>
        <w:r w:rsidR="00FA3C55">
          <w:rPr>
            <w:noProof/>
            <w:webHidden/>
          </w:rPr>
          <w:fldChar w:fldCharType="separate"/>
        </w:r>
        <w:r w:rsidR="00FA3C55">
          <w:rPr>
            <w:noProof/>
            <w:webHidden/>
          </w:rPr>
          <w:t>10</w:t>
        </w:r>
        <w:r w:rsidR="00FA3C55">
          <w:rPr>
            <w:noProof/>
            <w:webHidden/>
          </w:rPr>
          <w:fldChar w:fldCharType="end"/>
        </w:r>
      </w:hyperlink>
    </w:p>
    <w:p w14:paraId="2D7B53A7" w14:textId="11B11963"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89" w:history="1">
        <w:r w:rsidR="00FA3C55" w:rsidRPr="008C0C15">
          <w:rPr>
            <w:rStyle w:val="Hyperlink"/>
            <w:noProof/>
          </w:rPr>
          <w:t>1.6</w:t>
        </w:r>
        <w:r w:rsidR="00FA3C55">
          <w:rPr>
            <w:rFonts w:eastAsiaTheme="minorEastAsia" w:cstheme="minorBidi"/>
            <w:smallCaps w:val="0"/>
            <w:noProof/>
            <w:sz w:val="22"/>
            <w:szCs w:val="22"/>
            <w:lang w:eastAsia="en-GB" w:bidi="ar-SA"/>
          </w:rPr>
          <w:tab/>
        </w:r>
        <w:r w:rsidR="00FA3C55" w:rsidRPr="008C0C15">
          <w:rPr>
            <w:rStyle w:val="Hyperlink"/>
            <w:noProof/>
          </w:rPr>
          <w:t>Decision</w:t>
        </w:r>
        <w:r w:rsidR="00FA3C55">
          <w:rPr>
            <w:noProof/>
            <w:webHidden/>
          </w:rPr>
          <w:tab/>
        </w:r>
        <w:r w:rsidR="00FA3C55">
          <w:rPr>
            <w:noProof/>
            <w:webHidden/>
          </w:rPr>
          <w:fldChar w:fldCharType="begin"/>
        </w:r>
        <w:r w:rsidR="00FA3C55">
          <w:rPr>
            <w:noProof/>
            <w:webHidden/>
          </w:rPr>
          <w:instrText xml:space="preserve"> PAGEREF _Toc81995089 \h </w:instrText>
        </w:r>
        <w:r w:rsidR="00FA3C55">
          <w:rPr>
            <w:noProof/>
            <w:webHidden/>
          </w:rPr>
        </w:r>
        <w:r w:rsidR="00FA3C55">
          <w:rPr>
            <w:noProof/>
            <w:webHidden/>
          </w:rPr>
          <w:fldChar w:fldCharType="separate"/>
        </w:r>
        <w:r w:rsidR="00FA3C55">
          <w:rPr>
            <w:noProof/>
            <w:webHidden/>
          </w:rPr>
          <w:t>10</w:t>
        </w:r>
        <w:r w:rsidR="00FA3C55">
          <w:rPr>
            <w:noProof/>
            <w:webHidden/>
          </w:rPr>
          <w:fldChar w:fldCharType="end"/>
        </w:r>
      </w:hyperlink>
    </w:p>
    <w:p w14:paraId="6F44F73F" w14:textId="2BCCBF7A"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090" w:history="1">
        <w:r w:rsidR="00FA3C55" w:rsidRPr="008C0C15">
          <w:rPr>
            <w:rStyle w:val="Hyperlink"/>
            <w:noProof/>
          </w:rPr>
          <w:t>2</w:t>
        </w:r>
        <w:r w:rsidR="00FA3C55">
          <w:rPr>
            <w:rFonts w:eastAsiaTheme="minorEastAsia" w:cstheme="minorBidi"/>
            <w:b w:val="0"/>
            <w:bCs w:val="0"/>
            <w:caps w:val="0"/>
            <w:noProof/>
            <w:sz w:val="22"/>
            <w:szCs w:val="22"/>
            <w:lang w:eastAsia="en-GB" w:bidi="ar-SA"/>
          </w:rPr>
          <w:tab/>
        </w:r>
        <w:r w:rsidR="00FA3C55" w:rsidRPr="008C0C15">
          <w:rPr>
            <w:rStyle w:val="Hyperlink"/>
            <w:noProof/>
          </w:rPr>
          <w:t>Summary of the findings</w:t>
        </w:r>
        <w:r w:rsidR="00FA3C55">
          <w:rPr>
            <w:noProof/>
            <w:webHidden/>
          </w:rPr>
          <w:tab/>
        </w:r>
        <w:r w:rsidR="00FA3C55">
          <w:rPr>
            <w:noProof/>
            <w:webHidden/>
          </w:rPr>
          <w:fldChar w:fldCharType="begin"/>
        </w:r>
        <w:r w:rsidR="00FA3C55">
          <w:rPr>
            <w:noProof/>
            <w:webHidden/>
          </w:rPr>
          <w:instrText xml:space="preserve"> PAGEREF _Toc81995090 \h </w:instrText>
        </w:r>
        <w:r w:rsidR="00FA3C55">
          <w:rPr>
            <w:noProof/>
            <w:webHidden/>
          </w:rPr>
        </w:r>
        <w:r w:rsidR="00FA3C55">
          <w:rPr>
            <w:noProof/>
            <w:webHidden/>
          </w:rPr>
          <w:fldChar w:fldCharType="separate"/>
        </w:r>
        <w:r w:rsidR="00FA3C55">
          <w:rPr>
            <w:noProof/>
            <w:webHidden/>
          </w:rPr>
          <w:t>11</w:t>
        </w:r>
        <w:r w:rsidR="00FA3C55">
          <w:rPr>
            <w:noProof/>
            <w:webHidden/>
          </w:rPr>
          <w:fldChar w:fldCharType="end"/>
        </w:r>
      </w:hyperlink>
    </w:p>
    <w:p w14:paraId="43CE13F6" w14:textId="04630CF1"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91" w:history="1">
        <w:r w:rsidR="00FA3C55" w:rsidRPr="008C0C15">
          <w:rPr>
            <w:rStyle w:val="Hyperlink"/>
            <w:noProof/>
          </w:rPr>
          <w:t>2.1</w:t>
        </w:r>
        <w:r w:rsidR="00FA3C55">
          <w:rPr>
            <w:rFonts w:eastAsiaTheme="minorEastAsia" w:cstheme="minorBidi"/>
            <w:smallCaps w:val="0"/>
            <w:noProof/>
            <w:sz w:val="22"/>
            <w:szCs w:val="22"/>
            <w:lang w:eastAsia="en-GB" w:bidi="ar-SA"/>
          </w:rPr>
          <w:tab/>
        </w:r>
        <w:r w:rsidR="00FA3C55" w:rsidRPr="008C0C15">
          <w:rPr>
            <w:rStyle w:val="Hyperlink"/>
            <w:noProof/>
          </w:rPr>
          <w:t>Summary of issues raised in submissions</w:t>
        </w:r>
        <w:r w:rsidR="00FA3C55">
          <w:rPr>
            <w:noProof/>
            <w:webHidden/>
          </w:rPr>
          <w:tab/>
        </w:r>
        <w:r w:rsidR="00FA3C55">
          <w:rPr>
            <w:noProof/>
            <w:webHidden/>
          </w:rPr>
          <w:fldChar w:fldCharType="begin"/>
        </w:r>
        <w:r w:rsidR="00FA3C55">
          <w:rPr>
            <w:noProof/>
            <w:webHidden/>
          </w:rPr>
          <w:instrText xml:space="preserve"> PAGEREF _Toc81995091 \h </w:instrText>
        </w:r>
        <w:r w:rsidR="00FA3C55">
          <w:rPr>
            <w:noProof/>
            <w:webHidden/>
          </w:rPr>
        </w:r>
        <w:r w:rsidR="00FA3C55">
          <w:rPr>
            <w:noProof/>
            <w:webHidden/>
          </w:rPr>
          <w:fldChar w:fldCharType="separate"/>
        </w:r>
        <w:r w:rsidR="00FA3C55">
          <w:rPr>
            <w:noProof/>
            <w:webHidden/>
          </w:rPr>
          <w:t>11</w:t>
        </w:r>
        <w:r w:rsidR="00FA3C55">
          <w:rPr>
            <w:noProof/>
            <w:webHidden/>
          </w:rPr>
          <w:fldChar w:fldCharType="end"/>
        </w:r>
      </w:hyperlink>
    </w:p>
    <w:p w14:paraId="53E0A9BF" w14:textId="38E88432"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92" w:history="1">
        <w:r w:rsidR="00FA3C55" w:rsidRPr="008C0C15">
          <w:rPr>
            <w:rStyle w:val="Hyperlink"/>
            <w:noProof/>
          </w:rPr>
          <w:t>2.2</w:t>
        </w:r>
        <w:r w:rsidR="00FA3C55">
          <w:rPr>
            <w:rFonts w:eastAsiaTheme="minorEastAsia" w:cstheme="minorBidi"/>
            <w:smallCaps w:val="0"/>
            <w:noProof/>
            <w:sz w:val="22"/>
            <w:szCs w:val="22"/>
            <w:lang w:eastAsia="en-GB" w:bidi="ar-SA"/>
          </w:rPr>
          <w:tab/>
        </w:r>
        <w:r w:rsidR="00FA3C55" w:rsidRPr="008C0C15">
          <w:rPr>
            <w:rStyle w:val="Hyperlink"/>
            <w:noProof/>
          </w:rPr>
          <w:t>Risk and safety assessment</w:t>
        </w:r>
        <w:r w:rsidR="00FA3C55">
          <w:rPr>
            <w:noProof/>
            <w:webHidden/>
          </w:rPr>
          <w:tab/>
        </w:r>
        <w:r w:rsidR="00FA3C55">
          <w:rPr>
            <w:noProof/>
            <w:webHidden/>
          </w:rPr>
          <w:fldChar w:fldCharType="begin"/>
        </w:r>
        <w:r w:rsidR="00FA3C55">
          <w:rPr>
            <w:noProof/>
            <w:webHidden/>
          </w:rPr>
          <w:instrText xml:space="preserve"> PAGEREF _Toc81995092 \h </w:instrText>
        </w:r>
        <w:r w:rsidR="00FA3C55">
          <w:rPr>
            <w:noProof/>
            <w:webHidden/>
          </w:rPr>
        </w:r>
        <w:r w:rsidR="00FA3C55">
          <w:rPr>
            <w:noProof/>
            <w:webHidden/>
          </w:rPr>
          <w:fldChar w:fldCharType="separate"/>
        </w:r>
        <w:r w:rsidR="00FA3C55">
          <w:rPr>
            <w:noProof/>
            <w:webHidden/>
          </w:rPr>
          <w:t>20</w:t>
        </w:r>
        <w:r w:rsidR="00FA3C55">
          <w:rPr>
            <w:noProof/>
            <w:webHidden/>
          </w:rPr>
          <w:fldChar w:fldCharType="end"/>
        </w:r>
      </w:hyperlink>
    </w:p>
    <w:p w14:paraId="6CDCD502" w14:textId="28EC5157"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093" w:history="1">
        <w:r w:rsidR="00FA3C55" w:rsidRPr="008C0C15">
          <w:rPr>
            <w:rStyle w:val="Hyperlink"/>
            <w:noProof/>
          </w:rPr>
          <w:t>3</w:t>
        </w:r>
        <w:r w:rsidR="00FA3C55">
          <w:rPr>
            <w:rFonts w:eastAsiaTheme="minorEastAsia" w:cstheme="minorBidi"/>
            <w:b w:val="0"/>
            <w:bCs w:val="0"/>
            <w:caps w:val="0"/>
            <w:noProof/>
            <w:sz w:val="22"/>
            <w:szCs w:val="22"/>
            <w:lang w:eastAsia="en-GB" w:bidi="ar-SA"/>
          </w:rPr>
          <w:tab/>
        </w:r>
        <w:r w:rsidR="00FA3C55" w:rsidRPr="008C0C15">
          <w:rPr>
            <w:rStyle w:val="Hyperlink"/>
            <w:noProof/>
          </w:rPr>
          <w:t>Risk management</w:t>
        </w:r>
        <w:r w:rsidR="00FA3C55">
          <w:rPr>
            <w:noProof/>
            <w:webHidden/>
          </w:rPr>
          <w:tab/>
        </w:r>
        <w:r w:rsidR="00FA3C55">
          <w:rPr>
            <w:noProof/>
            <w:webHidden/>
          </w:rPr>
          <w:fldChar w:fldCharType="begin"/>
        </w:r>
        <w:r w:rsidR="00FA3C55">
          <w:rPr>
            <w:noProof/>
            <w:webHidden/>
          </w:rPr>
          <w:instrText xml:space="preserve"> PAGEREF _Toc81995093 \h </w:instrText>
        </w:r>
        <w:r w:rsidR="00FA3C55">
          <w:rPr>
            <w:noProof/>
            <w:webHidden/>
          </w:rPr>
        </w:r>
        <w:r w:rsidR="00FA3C55">
          <w:rPr>
            <w:noProof/>
            <w:webHidden/>
          </w:rPr>
          <w:fldChar w:fldCharType="separate"/>
        </w:r>
        <w:r w:rsidR="00FA3C55">
          <w:rPr>
            <w:noProof/>
            <w:webHidden/>
          </w:rPr>
          <w:t>21</w:t>
        </w:r>
        <w:r w:rsidR="00FA3C55">
          <w:rPr>
            <w:noProof/>
            <w:webHidden/>
          </w:rPr>
          <w:fldChar w:fldCharType="end"/>
        </w:r>
      </w:hyperlink>
    </w:p>
    <w:p w14:paraId="6EE498A6" w14:textId="7BFC0A60"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94" w:history="1">
        <w:r w:rsidR="00FA3C55" w:rsidRPr="008C0C15">
          <w:rPr>
            <w:rStyle w:val="Hyperlink"/>
            <w:noProof/>
          </w:rPr>
          <w:t>3.1</w:t>
        </w:r>
        <w:r w:rsidR="00FA3C55">
          <w:rPr>
            <w:rFonts w:eastAsiaTheme="minorEastAsia" w:cstheme="minorBidi"/>
            <w:smallCaps w:val="0"/>
            <w:noProof/>
            <w:sz w:val="22"/>
            <w:szCs w:val="22"/>
            <w:lang w:eastAsia="en-GB" w:bidi="ar-SA"/>
          </w:rPr>
          <w:tab/>
        </w:r>
        <w:r w:rsidR="00FA3C55" w:rsidRPr="008C0C15">
          <w:rPr>
            <w:rStyle w:val="Hyperlink"/>
            <w:noProof/>
          </w:rPr>
          <w:t>FSANZ’s approach and consideration of the policy guidelines</w:t>
        </w:r>
        <w:r w:rsidR="00FA3C55">
          <w:rPr>
            <w:noProof/>
            <w:webHidden/>
          </w:rPr>
          <w:tab/>
        </w:r>
        <w:r w:rsidR="00FA3C55">
          <w:rPr>
            <w:noProof/>
            <w:webHidden/>
          </w:rPr>
          <w:fldChar w:fldCharType="begin"/>
        </w:r>
        <w:r w:rsidR="00FA3C55">
          <w:rPr>
            <w:noProof/>
            <w:webHidden/>
          </w:rPr>
          <w:instrText xml:space="preserve"> PAGEREF _Toc81995094 \h </w:instrText>
        </w:r>
        <w:r w:rsidR="00FA3C55">
          <w:rPr>
            <w:noProof/>
            <w:webHidden/>
          </w:rPr>
        </w:r>
        <w:r w:rsidR="00FA3C55">
          <w:rPr>
            <w:noProof/>
            <w:webHidden/>
          </w:rPr>
          <w:fldChar w:fldCharType="separate"/>
        </w:r>
        <w:r w:rsidR="00FA3C55">
          <w:rPr>
            <w:noProof/>
            <w:webHidden/>
          </w:rPr>
          <w:t>21</w:t>
        </w:r>
        <w:r w:rsidR="00FA3C55">
          <w:rPr>
            <w:noProof/>
            <w:webHidden/>
          </w:rPr>
          <w:fldChar w:fldCharType="end"/>
        </w:r>
      </w:hyperlink>
    </w:p>
    <w:p w14:paraId="52C0F9EF" w14:textId="360C540D"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095" w:history="1">
        <w:r w:rsidR="00FA3C55" w:rsidRPr="008C0C15">
          <w:rPr>
            <w:rStyle w:val="Hyperlink"/>
            <w:noProof/>
          </w:rPr>
          <w:t>3.2</w:t>
        </w:r>
        <w:r w:rsidR="00FA3C55">
          <w:rPr>
            <w:rFonts w:eastAsiaTheme="minorEastAsia" w:cstheme="minorBidi"/>
            <w:smallCaps w:val="0"/>
            <w:noProof/>
            <w:sz w:val="22"/>
            <w:szCs w:val="22"/>
            <w:lang w:eastAsia="en-GB" w:bidi="ar-SA"/>
          </w:rPr>
          <w:tab/>
        </w:r>
        <w:r w:rsidR="00FA3C55" w:rsidRPr="008C0C15">
          <w:rPr>
            <w:rStyle w:val="Hyperlink"/>
            <w:noProof/>
          </w:rPr>
          <w:t>Labelling</w:t>
        </w:r>
        <w:r w:rsidR="00FA3C55">
          <w:rPr>
            <w:noProof/>
            <w:webHidden/>
          </w:rPr>
          <w:tab/>
        </w:r>
        <w:r w:rsidR="00FA3C55">
          <w:rPr>
            <w:noProof/>
            <w:webHidden/>
          </w:rPr>
          <w:fldChar w:fldCharType="begin"/>
        </w:r>
        <w:r w:rsidR="00FA3C55">
          <w:rPr>
            <w:noProof/>
            <w:webHidden/>
          </w:rPr>
          <w:instrText xml:space="preserve"> PAGEREF _Toc81995095 \h </w:instrText>
        </w:r>
        <w:r w:rsidR="00FA3C55">
          <w:rPr>
            <w:noProof/>
            <w:webHidden/>
          </w:rPr>
        </w:r>
        <w:r w:rsidR="00FA3C55">
          <w:rPr>
            <w:noProof/>
            <w:webHidden/>
          </w:rPr>
          <w:fldChar w:fldCharType="separate"/>
        </w:r>
        <w:r w:rsidR="00FA3C55">
          <w:rPr>
            <w:noProof/>
            <w:webHidden/>
          </w:rPr>
          <w:t>22</w:t>
        </w:r>
        <w:r w:rsidR="00FA3C55">
          <w:rPr>
            <w:noProof/>
            <w:webHidden/>
          </w:rPr>
          <w:fldChar w:fldCharType="end"/>
        </w:r>
      </w:hyperlink>
    </w:p>
    <w:p w14:paraId="504139BD" w14:textId="3F6DEE97"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96" w:history="1">
        <w:r w:rsidR="00FA3C55" w:rsidRPr="008C0C15">
          <w:rPr>
            <w:rStyle w:val="Hyperlink"/>
            <w:noProof/>
          </w:rPr>
          <w:t>3.2.1</w:t>
        </w:r>
        <w:r w:rsidR="00FA3C55">
          <w:rPr>
            <w:rFonts w:eastAsiaTheme="minorEastAsia" w:cstheme="minorBidi"/>
            <w:i w:val="0"/>
            <w:iCs w:val="0"/>
            <w:noProof/>
            <w:sz w:val="22"/>
            <w:szCs w:val="22"/>
            <w:lang w:eastAsia="en-GB" w:bidi="ar-SA"/>
          </w:rPr>
          <w:tab/>
        </w:r>
        <w:r w:rsidR="00FA3C55" w:rsidRPr="008C0C15">
          <w:rPr>
            <w:rStyle w:val="Hyperlink"/>
            <w:noProof/>
          </w:rPr>
          <w:t>Statement of ingredients</w:t>
        </w:r>
        <w:r w:rsidR="00FA3C55">
          <w:rPr>
            <w:noProof/>
            <w:webHidden/>
          </w:rPr>
          <w:tab/>
        </w:r>
        <w:r w:rsidR="00FA3C55">
          <w:rPr>
            <w:noProof/>
            <w:webHidden/>
          </w:rPr>
          <w:fldChar w:fldCharType="begin"/>
        </w:r>
        <w:r w:rsidR="00FA3C55">
          <w:rPr>
            <w:noProof/>
            <w:webHidden/>
          </w:rPr>
          <w:instrText xml:space="preserve"> PAGEREF _Toc81995096 \h </w:instrText>
        </w:r>
        <w:r w:rsidR="00FA3C55">
          <w:rPr>
            <w:noProof/>
            <w:webHidden/>
          </w:rPr>
        </w:r>
        <w:r w:rsidR="00FA3C55">
          <w:rPr>
            <w:noProof/>
            <w:webHidden/>
          </w:rPr>
          <w:fldChar w:fldCharType="separate"/>
        </w:r>
        <w:r w:rsidR="00FA3C55">
          <w:rPr>
            <w:noProof/>
            <w:webHidden/>
          </w:rPr>
          <w:t>22</w:t>
        </w:r>
        <w:r w:rsidR="00FA3C55">
          <w:rPr>
            <w:noProof/>
            <w:webHidden/>
          </w:rPr>
          <w:fldChar w:fldCharType="end"/>
        </w:r>
      </w:hyperlink>
    </w:p>
    <w:p w14:paraId="7150E16C" w14:textId="29FC3863"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97" w:history="1">
        <w:r w:rsidR="00FA3C55" w:rsidRPr="008C0C15">
          <w:rPr>
            <w:rStyle w:val="Hyperlink"/>
            <w:noProof/>
          </w:rPr>
          <w:t>3.2.2</w:t>
        </w:r>
        <w:r w:rsidR="00FA3C55">
          <w:rPr>
            <w:rFonts w:eastAsiaTheme="minorEastAsia" w:cstheme="minorBidi"/>
            <w:i w:val="0"/>
            <w:iCs w:val="0"/>
            <w:noProof/>
            <w:sz w:val="22"/>
            <w:szCs w:val="22"/>
            <w:lang w:eastAsia="en-GB" w:bidi="ar-SA"/>
          </w:rPr>
          <w:tab/>
        </w:r>
        <w:r w:rsidR="00FA3C55" w:rsidRPr="008C0C15">
          <w:rPr>
            <w:rStyle w:val="Hyperlink"/>
            <w:noProof/>
          </w:rPr>
          <w:t>Mandatory nutrition information</w:t>
        </w:r>
        <w:r w:rsidR="00FA3C55">
          <w:rPr>
            <w:noProof/>
            <w:webHidden/>
          </w:rPr>
          <w:tab/>
        </w:r>
        <w:r w:rsidR="00FA3C55">
          <w:rPr>
            <w:noProof/>
            <w:webHidden/>
          </w:rPr>
          <w:fldChar w:fldCharType="begin"/>
        </w:r>
        <w:r w:rsidR="00FA3C55">
          <w:rPr>
            <w:noProof/>
            <w:webHidden/>
          </w:rPr>
          <w:instrText xml:space="preserve"> PAGEREF _Toc81995097 \h </w:instrText>
        </w:r>
        <w:r w:rsidR="00FA3C55">
          <w:rPr>
            <w:noProof/>
            <w:webHidden/>
          </w:rPr>
        </w:r>
        <w:r w:rsidR="00FA3C55">
          <w:rPr>
            <w:noProof/>
            <w:webHidden/>
          </w:rPr>
          <w:fldChar w:fldCharType="separate"/>
        </w:r>
        <w:r w:rsidR="00FA3C55">
          <w:rPr>
            <w:noProof/>
            <w:webHidden/>
          </w:rPr>
          <w:t>22</w:t>
        </w:r>
        <w:r w:rsidR="00FA3C55">
          <w:rPr>
            <w:noProof/>
            <w:webHidden/>
          </w:rPr>
          <w:fldChar w:fldCharType="end"/>
        </w:r>
      </w:hyperlink>
    </w:p>
    <w:p w14:paraId="46E4DD4D" w14:textId="7E42F593"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98" w:history="1">
        <w:r w:rsidR="00FA3C55" w:rsidRPr="008C0C15">
          <w:rPr>
            <w:rStyle w:val="Hyperlink"/>
            <w:noProof/>
          </w:rPr>
          <w:t>3.2.3</w:t>
        </w:r>
        <w:r w:rsidR="00FA3C55">
          <w:rPr>
            <w:rFonts w:eastAsiaTheme="minorEastAsia" w:cstheme="minorBidi"/>
            <w:i w:val="0"/>
            <w:iCs w:val="0"/>
            <w:noProof/>
            <w:sz w:val="22"/>
            <w:szCs w:val="22"/>
            <w:lang w:eastAsia="en-GB" w:bidi="ar-SA"/>
          </w:rPr>
          <w:tab/>
        </w:r>
        <w:r w:rsidR="00FA3C55" w:rsidRPr="008C0C15">
          <w:rPr>
            <w:rStyle w:val="Hyperlink"/>
            <w:noProof/>
          </w:rPr>
          <w:t>Prohibited representations</w:t>
        </w:r>
        <w:r w:rsidR="00FA3C55">
          <w:rPr>
            <w:noProof/>
            <w:webHidden/>
          </w:rPr>
          <w:tab/>
        </w:r>
        <w:r w:rsidR="00FA3C55">
          <w:rPr>
            <w:noProof/>
            <w:webHidden/>
          </w:rPr>
          <w:fldChar w:fldCharType="begin"/>
        </w:r>
        <w:r w:rsidR="00FA3C55">
          <w:rPr>
            <w:noProof/>
            <w:webHidden/>
          </w:rPr>
          <w:instrText xml:space="preserve"> PAGEREF _Toc81995098 \h </w:instrText>
        </w:r>
        <w:r w:rsidR="00FA3C55">
          <w:rPr>
            <w:noProof/>
            <w:webHidden/>
          </w:rPr>
        </w:r>
        <w:r w:rsidR="00FA3C55">
          <w:rPr>
            <w:noProof/>
            <w:webHidden/>
          </w:rPr>
          <w:fldChar w:fldCharType="separate"/>
        </w:r>
        <w:r w:rsidR="00FA3C55">
          <w:rPr>
            <w:noProof/>
            <w:webHidden/>
          </w:rPr>
          <w:t>22</w:t>
        </w:r>
        <w:r w:rsidR="00FA3C55">
          <w:rPr>
            <w:noProof/>
            <w:webHidden/>
          </w:rPr>
          <w:fldChar w:fldCharType="end"/>
        </w:r>
      </w:hyperlink>
    </w:p>
    <w:p w14:paraId="550AB08F" w14:textId="162CEE41"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099" w:history="1">
        <w:r w:rsidR="00FA3C55" w:rsidRPr="008C0C15">
          <w:rPr>
            <w:rStyle w:val="Hyperlink"/>
            <w:noProof/>
          </w:rPr>
          <w:t>3.2.4</w:t>
        </w:r>
        <w:r w:rsidR="00FA3C55">
          <w:rPr>
            <w:rFonts w:eastAsiaTheme="minorEastAsia" w:cstheme="minorBidi"/>
            <w:i w:val="0"/>
            <w:iCs w:val="0"/>
            <w:noProof/>
            <w:sz w:val="22"/>
            <w:szCs w:val="22"/>
            <w:lang w:eastAsia="en-GB" w:bidi="ar-SA"/>
          </w:rPr>
          <w:tab/>
        </w:r>
        <w:r w:rsidR="00FA3C55" w:rsidRPr="008C0C15">
          <w:rPr>
            <w:rStyle w:val="Hyperlink"/>
            <w:noProof/>
          </w:rPr>
          <w:t>Voluntary representations</w:t>
        </w:r>
        <w:r w:rsidR="00FA3C55">
          <w:rPr>
            <w:noProof/>
            <w:webHidden/>
          </w:rPr>
          <w:tab/>
        </w:r>
        <w:r w:rsidR="00FA3C55">
          <w:rPr>
            <w:noProof/>
            <w:webHidden/>
          </w:rPr>
          <w:fldChar w:fldCharType="begin"/>
        </w:r>
        <w:r w:rsidR="00FA3C55">
          <w:rPr>
            <w:noProof/>
            <w:webHidden/>
          </w:rPr>
          <w:instrText xml:space="preserve"> PAGEREF _Toc81995099 \h </w:instrText>
        </w:r>
        <w:r w:rsidR="00FA3C55">
          <w:rPr>
            <w:noProof/>
            <w:webHidden/>
          </w:rPr>
        </w:r>
        <w:r w:rsidR="00FA3C55">
          <w:rPr>
            <w:noProof/>
            <w:webHidden/>
          </w:rPr>
          <w:fldChar w:fldCharType="separate"/>
        </w:r>
        <w:r w:rsidR="00FA3C55">
          <w:rPr>
            <w:noProof/>
            <w:webHidden/>
          </w:rPr>
          <w:t>23</w:t>
        </w:r>
        <w:r w:rsidR="00FA3C55">
          <w:rPr>
            <w:noProof/>
            <w:webHidden/>
          </w:rPr>
          <w:fldChar w:fldCharType="end"/>
        </w:r>
      </w:hyperlink>
    </w:p>
    <w:p w14:paraId="162432C5" w14:textId="2984E551"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100" w:history="1">
        <w:r w:rsidR="00FA3C55" w:rsidRPr="008C0C15">
          <w:rPr>
            <w:rStyle w:val="Hyperlink"/>
            <w:noProof/>
          </w:rPr>
          <w:t>3.2.5</w:t>
        </w:r>
        <w:r w:rsidR="00FA3C55">
          <w:rPr>
            <w:rFonts w:eastAsiaTheme="minorEastAsia" w:cstheme="minorBidi"/>
            <w:i w:val="0"/>
            <w:iCs w:val="0"/>
            <w:noProof/>
            <w:sz w:val="22"/>
            <w:szCs w:val="22"/>
            <w:lang w:eastAsia="en-GB" w:bidi="ar-SA"/>
          </w:rPr>
          <w:tab/>
        </w:r>
        <w:r w:rsidR="00FA3C55" w:rsidRPr="008C0C15">
          <w:rPr>
            <w:rStyle w:val="Hyperlink"/>
            <w:noProof/>
          </w:rPr>
          <w:t>Labelling as ‘genetically modified’</w:t>
        </w:r>
        <w:r w:rsidR="00FA3C55">
          <w:rPr>
            <w:noProof/>
            <w:webHidden/>
          </w:rPr>
          <w:tab/>
        </w:r>
        <w:r w:rsidR="00FA3C55">
          <w:rPr>
            <w:noProof/>
            <w:webHidden/>
          </w:rPr>
          <w:fldChar w:fldCharType="begin"/>
        </w:r>
        <w:r w:rsidR="00FA3C55">
          <w:rPr>
            <w:noProof/>
            <w:webHidden/>
          </w:rPr>
          <w:instrText xml:space="preserve"> PAGEREF _Toc81995100 \h </w:instrText>
        </w:r>
        <w:r w:rsidR="00FA3C55">
          <w:rPr>
            <w:noProof/>
            <w:webHidden/>
          </w:rPr>
        </w:r>
        <w:r w:rsidR="00FA3C55">
          <w:rPr>
            <w:noProof/>
            <w:webHidden/>
          </w:rPr>
          <w:fldChar w:fldCharType="separate"/>
        </w:r>
        <w:r w:rsidR="00FA3C55">
          <w:rPr>
            <w:noProof/>
            <w:webHidden/>
          </w:rPr>
          <w:t>23</w:t>
        </w:r>
        <w:r w:rsidR="00FA3C55">
          <w:rPr>
            <w:noProof/>
            <w:webHidden/>
          </w:rPr>
          <w:fldChar w:fldCharType="end"/>
        </w:r>
      </w:hyperlink>
    </w:p>
    <w:p w14:paraId="05BC7AB9" w14:textId="25E4A4D0"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1" w:history="1">
        <w:r w:rsidR="00FA3C55" w:rsidRPr="008C0C15">
          <w:rPr>
            <w:rStyle w:val="Hyperlink"/>
            <w:noProof/>
          </w:rPr>
          <w:t>3.3</w:t>
        </w:r>
        <w:r w:rsidR="00FA3C55">
          <w:rPr>
            <w:rFonts w:eastAsiaTheme="minorEastAsia" w:cstheme="minorBidi"/>
            <w:smallCaps w:val="0"/>
            <w:noProof/>
            <w:sz w:val="22"/>
            <w:szCs w:val="22"/>
            <w:lang w:eastAsia="en-GB" w:bidi="ar-SA"/>
          </w:rPr>
          <w:tab/>
        </w:r>
        <w:r w:rsidR="00FA3C55" w:rsidRPr="008C0C15">
          <w:rPr>
            <w:rStyle w:val="Hyperlink"/>
            <w:noProof/>
          </w:rPr>
          <w:t>Permitted use of 2′-FL</w:t>
        </w:r>
        <w:r w:rsidR="00FA3C55">
          <w:rPr>
            <w:noProof/>
            <w:webHidden/>
          </w:rPr>
          <w:tab/>
        </w:r>
        <w:r w:rsidR="00FA3C55">
          <w:rPr>
            <w:noProof/>
            <w:webHidden/>
          </w:rPr>
          <w:fldChar w:fldCharType="begin"/>
        </w:r>
        <w:r w:rsidR="00FA3C55">
          <w:rPr>
            <w:noProof/>
            <w:webHidden/>
          </w:rPr>
          <w:instrText xml:space="preserve"> PAGEREF _Toc81995101 \h </w:instrText>
        </w:r>
        <w:r w:rsidR="00FA3C55">
          <w:rPr>
            <w:noProof/>
            <w:webHidden/>
          </w:rPr>
        </w:r>
        <w:r w:rsidR="00FA3C55">
          <w:rPr>
            <w:noProof/>
            <w:webHidden/>
          </w:rPr>
          <w:fldChar w:fldCharType="separate"/>
        </w:r>
        <w:r w:rsidR="00FA3C55">
          <w:rPr>
            <w:noProof/>
            <w:webHidden/>
          </w:rPr>
          <w:t>23</w:t>
        </w:r>
        <w:r w:rsidR="00FA3C55">
          <w:rPr>
            <w:noProof/>
            <w:webHidden/>
          </w:rPr>
          <w:fldChar w:fldCharType="end"/>
        </w:r>
      </w:hyperlink>
    </w:p>
    <w:p w14:paraId="2ABCC5CD" w14:textId="3DB8B80C"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2" w:history="1">
        <w:r w:rsidR="00FA3C55" w:rsidRPr="008C0C15">
          <w:rPr>
            <w:rStyle w:val="Hyperlink"/>
            <w:noProof/>
          </w:rPr>
          <w:t>3.4</w:t>
        </w:r>
        <w:r w:rsidR="00FA3C55">
          <w:rPr>
            <w:rFonts w:eastAsiaTheme="minorEastAsia" w:cstheme="minorBidi"/>
            <w:smallCaps w:val="0"/>
            <w:noProof/>
            <w:sz w:val="22"/>
            <w:szCs w:val="22"/>
            <w:lang w:eastAsia="en-GB" w:bidi="ar-SA"/>
          </w:rPr>
          <w:tab/>
        </w:r>
        <w:r w:rsidR="00FA3C55" w:rsidRPr="008C0C15">
          <w:rPr>
            <w:rStyle w:val="Hyperlink"/>
            <w:noProof/>
          </w:rPr>
          <w:t>Common substance names for 2′-FL</w:t>
        </w:r>
        <w:r w:rsidR="00FA3C55">
          <w:rPr>
            <w:noProof/>
            <w:webHidden/>
          </w:rPr>
          <w:tab/>
        </w:r>
        <w:r w:rsidR="00FA3C55">
          <w:rPr>
            <w:noProof/>
            <w:webHidden/>
          </w:rPr>
          <w:fldChar w:fldCharType="begin"/>
        </w:r>
        <w:r w:rsidR="00FA3C55">
          <w:rPr>
            <w:noProof/>
            <w:webHidden/>
          </w:rPr>
          <w:instrText xml:space="preserve"> PAGEREF _Toc81995102 \h </w:instrText>
        </w:r>
        <w:r w:rsidR="00FA3C55">
          <w:rPr>
            <w:noProof/>
            <w:webHidden/>
          </w:rPr>
        </w:r>
        <w:r w:rsidR="00FA3C55">
          <w:rPr>
            <w:noProof/>
            <w:webHidden/>
          </w:rPr>
          <w:fldChar w:fldCharType="separate"/>
        </w:r>
        <w:r w:rsidR="00FA3C55">
          <w:rPr>
            <w:noProof/>
            <w:webHidden/>
          </w:rPr>
          <w:t>23</w:t>
        </w:r>
        <w:r w:rsidR="00FA3C55">
          <w:rPr>
            <w:noProof/>
            <w:webHidden/>
          </w:rPr>
          <w:fldChar w:fldCharType="end"/>
        </w:r>
      </w:hyperlink>
    </w:p>
    <w:p w14:paraId="26FD24F6" w14:textId="393D6D69"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3" w:history="1">
        <w:r w:rsidR="00FA3C55" w:rsidRPr="008C0C15">
          <w:rPr>
            <w:rStyle w:val="Hyperlink"/>
            <w:noProof/>
          </w:rPr>
          <w:t>3.5</w:t>
        </w:r>
        <w:r w:rsidR="00FA3C55">
          <w:rPr>
            <w:rFonts w:eastAsiaTheme="minorEastAsia" w:cstheme="minorBidi"/>
            <w:smallCaps w:val="0"/>
            <w:noProof/>
            <w:sz w:val="22"/>
            <w:szCs w:val="22"/>
            <w:lang w:eastAsia="en-GB" w:bidi="ar-SA"/>
          </w:rPr>
          <w:tab/>
        </w:r>
        <w:r w:rsidR="00FA3C55" w:rsidRPr="008C0C15">
          <w:rPr>
            <w:rStyle w:val="Hyperlink"/>
            <w:noProof/>
          </w:rPr>
          <w:t>Exclusivity</w:t>
        </w:r>
        <w:r w:rsidR="00FA3C55">
          <w:rPr>
            <w:noProof/>
            <w:webHidden/>
          </w:rPr>
          <w:tab/>
        </w:r>
        <w:r w:rsidR="00FA3C55">
          <w:rPr>
            <w:noProof/>
            <w:webHidden/>
          </w:rPr>
          <w:fldChar w:fldCharType="begin"/>
        </w:r>
        <w:r w:rsidR="00FA3C55">
          <w:rPr>
            <w:noProof/>
            <w:webHidden/>
          </w:rPr>
          <w:instrText xml:space="preserve"> PAGEREF _Toc81995103 \h </w:instrText>
        </w:r>
        <w:r w:rsidR="00FA3C55">
          <w:rPr>
            <w:noProof/>
            <w:webHidden/>
          </w:rPr>
        </w:r>
        <w:r w:rsidR="00FA3C55">
          <w:rPr>
            <w:noProof/>
            <w:webHidden/>
          </w:rPr>
          <w:fldChar w:fldCharType="separate"/>
        </w:r>
        <w:r w:rsidR="00FA3C55">
          <w:rPr>
            <w:noProof/>
            <w:webHidden/>
          </w:rPr>
          <w:t>23</w:t>
        </w:r>
        <w:r w:rsidR="00FA3C55">
          <w:rPr>
            <w:noProof/>
            <w:webHidden/>
          </w:rPr>
          <w:fldChar w:fldCharType="end"/>
        </w:r>
      </w:hyperlink>
    </w:p>
    <w:p w14:paraId="587FC2E3" w14:textId="137319E9"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4" w:history="1">
        <w:r w:rsidR="00FA3C55" w:rsidRPr="008C0C15">
          <w:rPr>
            <w:rStyle w:val="Hyperlink"/>
            <w:noProof/>
          </w:rPr>
          <w:t>3.6</w:t>
        </w:r>
        <w:r w:rsidR="00FA3C55">
          <w:rPr>
            <w:rFonts w:eastAsiaTheme="minorEastAsia" w:cstheme="minorBidi"/>
            <w:smallCaps w:val="0"/>
            <w:noProof/>
            <w:sz w:val="22"/>
            <w:szCs w:val="22"/>
            <w:lang w:eastAsia="en-GB" w:bidi="ar-SA"/>
          </w:rPr>
          <w:tab/>
        </w:r>
        <w:r w:rsidR="00FA3C55" w:rsidRPr="008C0C15">
          <w:rPr>
            <w:rStyle w:val="Hyperlink"/>
            <w:noProof/>
          </w:rPr>
          <w:t>Risk management conclusion</w:t>
        </w:r>
        <w:r w:rsidR="00FA3C55">
          <w:rPr>
            <w:noProof/>
            <w:webHidden/>
          </w:rPr>
          <w:tab/>
        </w:r>
        <w:r w:rsidR="00FA3C55">
          <w:rPr>
            <w:noProof/>
            <w:webHidden/>
          </w:rPr>
          <w:fldChar w:fldCharType="begin"/>
        </w:r>
        <w:r w:rsidR="00FA3C55">
          <w:rPr>
            <w:noProof/>
            <w:webHidden/>
          </w:rPr>
          <w:instrText xml:space="preserve"> PAGEREF _Toc81995104 \h </w:instrText>
        </w:r>
        <w:r w:rsidR="00FA3C55">
          <w:rPr>
            <w:noProof/>
            <w:webHidden/>
          </w:rPr>
        </w:r>
        <w:r w:rsidR="00FA3C55">
          <w:rPr>
            <w:noProof/>
            <w:webHidden/>
          </w:rPr>
          <w:fldChar w:fldCharType="separate"/>
        </w:r>
        <w:r w:rsidR="00FA3C55">
          <w:rPr>
            <w:noProof/>
            <w:webHidden/>
          </w:rPr>
          <w:t>24</w:t>
        </w:r>
        <w:r w:rsidR="00FA3C55">
          <w:rPr>
            <w:noProof/>
            <w:webHidden/>
          </w:rPr>
          <w:fldChar w:fldCharType="end"/>
        </w:r>
      </w:hyperlink>
    </w:p>
    <w:p w14:paraId="38647048" w14:textId="4D819A98"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105" w:history="1">
        <w:r w:rsidR="00FA3C55" w:rsidRPr="008C0C15">
          <w:rPr>
            <w:rStyle w:val="Hyperlink"/>
            <w:noProof/>
          </w:rPr>
          <w:t>4</w:t>
        </w:r>
        <w:r w:rsidR="00FA3C55">
          <w:rPr>
            <w:rFonts w:eastAsiaTheme="minorEastAsia" w:cstheme="minorBidi"/>
            <w:b w:val="0"/>
            <w:bCs w:val="0"/>
            <w:caps w:val="0"/>
            <w:noProof/>
            <w:sz w:val="22"/>
            <w:szCs w:val="22"/>
            <w:lang w:eastAsia="en-GB" w:bidi="ar-SA"/>
          </w:rPr>
          <w:tab/>
        </w:r>
        <w:r w:rsidR="00FA3C55" w:rsidRPr="008C0C15">
          <w:rPr>
            <w:rStyle w:val="Hyperlink"/>
            <w:noProof/>
          </w:rPr>
          <w:t>Risk communication</w:t>
        </w:r>
        <w:r w:rsidR="00FA3C55">
          <w:rPr>
            <w:noProof/>
            <w:webHidden/>
          </w:rPr>
          <w:tab/>
        </w:r>
        <w:r w:rsidR="00FA3C55">
          <w:rPr>
            <w:noProof/>
            <w:webHidden/>
          </w:rPr>
          <w:fldChar w:fldCharType="begin"/>
        </w:r>
        <w:r w:rsidR="00FA3C55">
          <w:rPr>
            <w:noProof/>
            <w:webHidden/>
          </w:rPr>
          <w:instrText xml:space="preserve"> PAGEREF _Toc81995105 \h </w:instrText>
        </w:r>
        <w:r w:rsidR="00FA3C55">
          <w:rPr>
            <w:noProof/>
            <w:webHidden/>
          </w:rPr>
        </w:r>
        <w:r w:rsidR="00FA3C55">
          <w:rPr>
            <w:noProof/>
            <w:webHidden/>
          </w:rPr>
          <w:fldChar w:fldCharType="separate"/>
        </w:r>
        <w:r w:rsidR="00FA3C55">
          <w:rPr>
            <w:noProof/>
            <w:webHidden/>
          </w:rPr>
          <w:t>24</w:t>
        </w:r>
        <w:r w:rsidR="00FA3C55">
          <w:rPr>
            <w:noProof/>
            <w:webHidden/>
          </w:rPr>
          <w:fldChar w:fldCharType="end"/>
        </w:r>
      </w:hyperlink>
    </w:p>
    <w:p w14:paraId="003450A1" w14:textId="08FD5A52"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6" w:history="1">
        <w:r w:rsidR="00FA3C55" w:rsidRPr="008C0C15">
          <w:rPr>
            <w:rStyle w:val="Hyperlink"/>
            <w:noProof/>
          </w:rPr>
          <w:t>4.1</w:t>
        </w:r>
        <w:r w:rsidR="00FA3C55">
          <w:rPr>
            <w:rFonts w:eastAsiaTheme="minorEastAsia" w:cstheme="minorBidi"/>
            <w:smallCaps w:val="0"/>
            <w:noProof/>
            <w:sz w:val="22"/>
            <w:szCs w:val="22"/>
            <w:lang w:eastAsia="en-GB" w:bidi="ar-SA"/>
          </w:rPr>
          <w:tab/>
        </w:r>
        <w:r w:rsidR="00FA3C55" w:rsidRPr="008C0C15">
          <w:rPr>
            <w:rStyle w:val="Hyperlink"/>
            <w:noProof/>
          </w:rPr>
          <w:t>Consultation</w:t>
        </w:r>
        <w:r w:rsidR="00FA3C55">
          <w:rPr>
            <w:noProof/>
            <w:webHidden/>
          </w:rPr>
          <w:tab/>
        </w:r>
        <w:r w:rsidR="00FA3C55">
          <w:rPr>
            <w:noProof/>
            <w:webHidden/>
          </w:rPr>
          <w:fldChar w:fldCharType="begin"/>
        </w:r>
        <w:r w:rsidR="00FA3C55">
          <w:rPr>
            <w:noProof/>
            <w:webHidden/>
          </w:rPr>
          <w:instrText xml:space="preserve"> PAGEREF _Toc81995106 \h </w:instrText>
        </w:r>
        <w:r w:rsidR="00FA3C55">
          <w:rPr>
            <w:noProof/>
            <w:webHidden/>
          </w:rPr>
        </w:r>
        <w:r w:rsidR="00FA3C55">
          <w:rPr>
            <w:noProof/>
            <w:webHidden/>
          </w:rPr>
          <w:fldChar w:fldCharType="separate"/>
        </w:r>
        <w:r w:rsidR="00FA3C55">
          <w:rPr>
            <w:noProof/>
            <w:webHidden/>
          </w:rPr>
          <w:t>24</w:t>
        </w:r>
        <w:r w:rsidR="00FA3C55">
          <w:rPr>
            <w:noProof/>
            <w:webHidden/>
          </w:rPr>
          <w:fldChar w:fldCharType="end"/>
        </w:r>
      </w:hyperlink>
    </w:p>
    <w:p w14:paraId="7205D520" w14:textId="645F2E27"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7" w:history="1">
        <w:r w:rsidR="00FA3C55" w:rsidRPr="008C0C15">
          <w:rPr>
            <w:rStyle w:val="Hyperlink"/>
            <w:noProof/>
          </w:rPr>
          <w:t>4.2</w:t>
        </w:r>
        <w:r w:rsidR="00FA3C55">
          <w:rPr>
            <w:rFonts w:eastAsiaTheme="minorEastAsia" w:cstheme="minorBidi"/>
            <w:smallCaps w:val="0"/>
            <w:noProof/>
            <w:sz w:val="22"/>
            <w:szCs w:val="22"/>
            <w:lang w:eastAsia="en-GB" w:bidi="ar-SA"/>
          </w:rPr>
          <w:tab/>
        </w:r>
        <w:r w:rsidR="00FA3C55" w:rsidRPr="008C0C15">
          <w:rPr>
            <w:rStyle w:val="Hyperlink"/>
            <w:noProof/>
          </w:rPr>
          <w:t>World Trade Organization (WTO)</w:t>
        </w:r>
        <w:r w:rsidR="00FA3C55">
          <w:rPr>
            <w:noProof/>
            <w:webHidden/>
          </w:rPr>
          <w:tab/>
        </w:r>
        <w:r w:rsidR="00FA3C55">
          <w:rPr>
            <w:noProof/>
            <w:webHidden/>
          </w:rPr>
          <w:fldChar w:fldCharType="begin"/>
        </w:r>
        <w:r w:rsidR="00FA3C55">
          <w:rPr>
            <w:noProof/>
            <w:webHidden/>
          </w:rPr>
          <w:instrText xml:space="preserve"> PAGEREF _Toc81995107 \h </w:instrText>
        </w:r>
        <w:r w:rsidR="00FA3C55">
          <w:rPr>
            <w:noProof/>
            <w:webHidden/>
          </w:rPr>
        </w:r>
        <w:r w:rsidR="00FA3C55">
          <w:rPr>
            <w:noProof/>
            <w:webHidden/>
          </w:rPr>
          <w:fldChar w:fldCharType="separate"/>
        </w:r>
        <w:r w:rsidR="00FA3C55">
          <w:rPr>
            <w:noProof/>
            <w:webHidden/>
          </w:rPr>
          <w:t>25</w:t>
        </w:r>
        <w:r w:rsidR="00FA3C55">
          <w:rPr>
            <w:noProof/>
            <w:webHidden/>
          </w:rPr>
          <w:fldChar w:fldCharType="end"/>
        </w:r>
      </w:hyperlink>
    </w:p>
    <w:p w14:paraId="64CE2602" w14:textId="18F622D3"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108" w:history="1">
        <w:r w:rsidR="00FA3C55" w:rsidRPr="008C0C15">
          <w:rPr>
            <w:rStyle w:val="Hyperlink"/>
            <w:noProof/>
          </w:rPr>
          <w:t>5</w:t>
        </w:r>
        <w:r w:rsidR="00FA3C55">
          <w:rPr>
            <w:rFonts w:eastAsiaTheme="minorEastAsia" w:cstheme="minorBidi"/>
            <w:b w:val="0"/>
            <w:bCs w:val="0"/>
            <w:caps w:val="0"/>
            <w:noProof/>
            <w:sz w:val="22"/>
            <w:szCs w:val="22"/>
            <w:lang w:eastAsia="en-GB" w:bidi="ar-SA"/>
          </w:rPr>
          <w:tab/>
        </w:r>
        <w:r w:rsidR="00FA3C55" w:rsidRPr="008C0C15">
          <w:rPr>
            <w:rStyle w:val="Hyperlink"/>
            <w:noProof/>
          </w:rPr>
          <w:t>FSANZ Act assessment requirements</w:t>
        </w:r>
        <w:r w:rsidR="00FA3C55">
          <w:rPr>
            <w:noProof/>
            <w:webHidden/>
          </w:rPr>
          <w:tab/>
        </w:r>
        <w:r w:rsidR="00FA3C55">
          <w:rPr>
            <w:noProof/>
            <w:webHidden/>
          </w:rPr>
          <w:fldChar w:fldCharType="begin"/>
        </w:r>
        <w:r w:rsidR="00FA3C55">
          <w:rPr>
            <w:noProof/>
            <w:webHidden/>
          </w:rPr>
          <w:instrText xml:space="preserve"> PAGEREF _Toc81995108 \h </w:instrText>
        </w:r>
        <w:r w:rsidR="00FA3C55">
          <w:rPr>
            <w:noProof/>
            <w:webHidden/>
          </w:rPr>
        </w:r>
        <w:r w:rsidR="00FA3C55">
          <w:rPr>
            <w:noProof/>
            <w:webHidden/>
          </w:rPr>
          <w:fldChar w:fldCharType="separate"/>
        </w:r>
        <w:r w:rsidR="00FA3C55">
          <w:rPr>
            <w:noProof/>
            <w:webHidden/>
          </w:rPr>
          <w:t>25</w:t>
        </w:r>
        <w:r w:rsidR="00FA3C55">
          <w:rPr>
            <w:noProof/>
            <w:webHidden/>
          </w:rPr>
          <w:fldChar w:fldCharType="end"/>
        </w:r>
      </w:hyperlink>
    </w:p>
    <w:p w14:paraId="53950CD7" w14:textId="3A9DF93B"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09" w:history="1">
        <w:r w:rsidR="00FA3C55" w:rsidRPr="008C0C15">
          <w:rPr>
            <w:rStyle w:val="Hyperlink"/>
            <w:noProof/>
          </w:rPr>
          <w:t>5.1</w:t>
        </w:r>
        <w:r w:rsidR="00FA3C55">
          <w:rPr>
            <w:rFonts w:eastAsiaTheme="minorEastAsia" w:cstheme="minorBidi"/>
            <w:smallCaps w:val="0"/>
            <w:noProof/>
            <w:sz w:val="22"/>
            <w:szCs w:val="22"/>
            <w:lang w:eastAsia="en-GB" w:bidi="ar-SA"/>
          </w:rPr>
          <w:tab/>
        </w:r>
        <w:r w:rsidR="00FA3C55" w:rsidRPr="008C0C15">
          <w:rPr>
            <w:rStyle w:val="Hyperlink"/>
            <w:noProof/>
          </w:rPr>
          <w:t>Section 29</w:t>
        </w:r>
        <w:r w:rsidR="00FA3C55">
          <w:rPr>
            <w:noProof/>
            <w:webHidden/>
          </w:rPr>
          <w:tab/>
        </w:r>
        <w:r w:rsidR="00FA3C55">
          <w:rPr>
            <w:noProof/>
            <w:webHidden/>
          </w:rPr>
          <w:fldChar w:fldCharType="begin"/>
        </w:r>
        <w:r w:rsidR="00FA3C55">
          <w:rPr>
            <w:noProof/>
            <w:webHidden/>
          </w:rPr>
          <w:instrText xml:space="preserve"> PAGEREF _Toc81995109 \h </w:instrText>
        </w:r>
        <w:r w:rsidR="00FA3C55">
          <w:rPr>
            <w:noProof/>
            <w:webHidden/>
          </w:rPr>
        </w:r>
        <w:r w:rsidR="00FA3C55">
          <w:rPr>
            <w:noProof/>
            <w:webHidden/>
          </w:rPr>
          <w:fldChar w:fldCharType="separate"/>
        </w:r>
        <w:r w:rsidR="00FA3C55">
          <w:rPr>
            <w:noProof/>
            <w:webHidden/>
          </w:rPr>
          <w:t>25</w:t>
        </w:r>
        <w:r w:rsidR="00FA3C55">
          <w:rPr>
            <w:noProof/>
            <w:webHidden/>
          </w:rPr>
          <w:fldChar w:fldCharType="end"/>
        </w:r>
      </w:hyperlink>
    </w:p>
    <w:p w14:paraId="181A8673" w14:textId="65EB31FC"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110" w:history="1">
        <w:r w:rsidR="00FA3C55" w:rsidRPr="008C0C15">
          <w:rPr>
            <w:rStyle w:val="Hyperlink"/>
            <w:noProof/>
          </w:rPr>
          <w:t>5.1.1</w:t>
        </w:r>
        <w:r w:rsidR="00FA3C55">
          <w:rPr>
            <w:rFonts w:eastAsiaTheme="minorEastAsia" w:cstheme="minorBidi"/>
            <w:i w:val="0"/>
            <w:iCs w:val="0"/>
            <w:noProof/>
            <w:sz w:val="22"/>
            <w:szCs w:val="22"/>
            <w:lang w:eastAsia="en-GB" w:bidi="ar-SA"/>
          </w:rPr>
          <w:tab/>
        </w:r>
        <w:r w:rsidR="00FA3C55" w:rsidRPr="008C0C15">
          <w:rPr>
            <w:rStyle w:val="Hyperlink"/>
            <w:noProof/>
          </w:rPr>
          <w:t>Consideration of costs and benefits</w:t>
        </w:r>
        <w:r w:rsidR="00FA3C55">
          <w:rPr>
            <w:noProof/>
            <w:webHidden/>
          </w:rPr>
          <w:tab/>
        </w:r>
        <w:r w:rsidR="00FA3C55">
          <w:rPr>
            <w:noProof/>
            <w:webHidden/>
          </w:rPr>
          <w:fldChar w:fldCharType="begin"/>
        </w:r>
        <w:r w:rsidR="00FA3C55">
          <w:rPr>
            <w:noProof/>
            <w:webHidden/>
          </w:rPr>
          <w:instrText xml:space="preserve"> PAGEREF _Toc81995110 \h </w:instrText>
        </w:r>
        <w:r w:rsidR="00FA3C55">
          <w:rPr>
            <w:noProof/>
            <w:webHidden/>
          </w:rPr>
        </w:r>
        <w:r w:rsidR="00FA3C55">
          <w:rPr>
            <w:noProof/>
            <w:webHidden/>
          </w:rPr>
          <w:fldChar w:fldCharType="separate"/>
        </w:r>
        <w:r w:rsidR="00FA3C55">
          <w:rPr>
            <w:noProof/>
            <w:webHidden/>
          </w:rPr>
          <w:t>25</w:t>
        </w:r>
        <w:r w:rsidR="00FA3C55">
          <w:rPr>
            <w:noProof/>
            <w:webHidden/>
          </w:rPr>
          <w:fldChar w:fldCharType="end"/>
        </w:r>
      </w:hyperlink>
    </w:p>
    <w:p w14:paraId="4CA4A44C" w14:textId="2F238175" w:rsidR="00FA3C55" w:rsidRDefault="00A0048C">
      <w:pPr>
        <w:pStyle w:val="TOC3"/>
        <w:tabs>
          <w:tab w:val="left" w:pos="1100"/>
          <w:tab w:val="right" w:leader="dot" w:pos="9060"/>
        </w:tabs>
        <w:rPr>
          <w:rFonts w:eastAsiaTheme="minorEastAsia" w:cstheme="minorBidi"/>
          <w:i w:val="0"/>
          <w:iCs w:val="0"/>
          <w:noProof/>
          <w:sz w:val="22"/>
          <w:szCs w:val="22"/>
          <w:lang w:eastAsia="en-GB" w:bidi="ar-SA"/>
        </w:rPr>
      </w:pPr>
      <w:hyperlink w:anchor="_Toc81995111" w:history="1">
        <w:r w:rsidR="00FA3C55" w:rsidRPr="008C0C15">
          <w:rPr>
            <w:rStyle w:val="Hyperlink"/>
            <w:noProof/>
          </w:rPr>
          <w:t>5.1.2</w:t>
        </w:r>
        <w:r w:rsidR="00FA3C55">
          <w:rPr>
            <w:rFonts w:eastAsiaTheme="minorEastAsia" w:cstheme="minorBidi"/>
            <w:i w:val="0"/>
            <w:iCs w:val="0"/>
            <w:noProof/>
            <w:sz w:val="22"/>
            <w:szCs w:val="22"/>
            <w:lang w:eastAsia="en-GB" w:bidi="ar-SA"/>
          </w:rPr>
          <w:tab/>
        </w:r>
        <w:r w:rsidR="00FA3C55" w:rsidRPr="008C0C15">
          <w:rPr>
            <w:rStyle w:val="Hyperlink"/>
            <w:noProof/>
          </w:rPr>
          <w:t>Other measures</w:t>
        </w:r>
        <w:r w:rsidR="00FA3C55">
          <w:rPr>
            <w:noProof/>
            <w:webHidden/>
          </w:rPr>
          <w:tab/>
        </w:r>
        <w:r w:rsidR="00FA3C55">
          <w:rPr>
            <w:noProof/>
            <w:webHidden/>
          </w:rPr>
          <w:fldChar w:fldCharType="begin"/>
        </w:r>
        <w:r w:rsidR="00FA3C55">
          <w:rPr>
            <w:noProof/>
            <w:webHidden/>
          </w:rPr>
          <w:instrText xml:space="preserve"> PAGEREF _Toc81995111 \h </w:instrText>
        </w:r>
        <w:r w:rsidR="00FA3C55">
          <w:rPr>
            <w:noProof/>
            <w:webHidden/>
          </w:rPr>
        </w:r>
        <w:r w:rsidR="00FA3C55">
          <w:rPr>
            <w:noProof/>
            <w:webHidden/>
          </w:rPr>
          <w:fldChar w:fldCharType="separate"/>
        </w:r>
        <w:r w:rsidR="00FA3C55">
          <w:rPr>
            <w:noProof/>
            <w:webHidden/>
          </w:rPr>
          <w:t>27</w:t>
        </w:r>
        <w:r w:rsidR="00FA3C55">
          <w:rPr>
            <w:noProof/>
            <w:webHidden/>
          </w:rPr>
          <w:fldChar w:fldCharType="end"/>
        </w:r>
      </w:hyperlink>
    </w:p>
    <w:p w14:paraId="633FCC20" w14:textId="601E78A4"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12" w:history="1">
        <w:r w:rsidR="00FA3C55" w:rsidRPr="008C0C15">
          <w:rPr>
            <w:rStyle w:val="Hyperlink"/>
            <w:noProof/>
          </w:rPr>
          <w:t>5.2.</w:t>
        </w:r>
        <w:r w:rsidR="00FA3C55">
          <w:rPr>
            <w:rFonts w:eastAsiaTheme="minorEastAsia" w:cstheme="minorBidi"/>
            <w:smallCaps w:val="0"/>
            <w:noProof/>
            <w:sz w:val="22"/>
            <w:szCs w:val="22"/>
            <w:lang w:eastAsia="en-GB" w:bidi="ar-SA"/>
          </w:rPr>
          <w:tab/>
        </w:r>
        <w:r w:rsidR="00FA3C55" w:rsidRPr="008C0C15">
          <w:rPr>
            <w:rStyle w:val="Hyperlink"/>
            <w:noProof/>
          </w:rPr>
          <w:t>Subsection 18(1)</w:t>
        </w:r>
        <w:r w:rsidR="00FA3C55">
          <w:rPr>
            <w:noProof/>
            <w:webHidden/>
          </w:rPr>
          <w:tab/>
        </w:r>
        <w:r w:rsidR="00FA3C55">
          <w:rPr>
            <w:noProof/>
            <w:webHidden/>
          </w:rPr>
          <w:fldChar w:fldCharType="begin"/>
        </w:r>
        <w:r w:rsidR="00FA3C55">
          <w:rPr>
            <w:noProof/>
            <w:webHidden/>
          </w:rPr>
          <w:instrText xml:space="preserve"> PAGEREF _Toc81995112 \h </w:instrText>
        </w:r>
        <w:r w:rsidR="00FA3C55">
          <w:rPr>
            <w:noProof/>
            <w:webHidden/>
          </w:rPr>
        </w:r>
        <w:r w:rsidR="00FA3C55">
          <w:rPr>
            <w:noProof/>
            <w:webHidden/>
          </w:rPr>
          <w:fldChar w:fldCharType="separate"/>
        </w:r>
        <w:r w:rsidR="00FA3C55">
          <w:rPr>
            <w:noProof/>
            <w:webHidden/>
          </w:rPr>
          <w:t>27</w:t>
        </w:r>
        <w:r w:rsidR="00FA3C55">
          <w:rPr>
            <w:noProof/>
            <w:webHidden/>
          </w:rPr>
          <w:fldChar w:fldCharType="end"/>
        </w:r>
      </w:hyperlink>
    </w:p>
    <w:p w14:paraId="2186E3A2" w14:textId="0A8CB4DA" w:rsidR="00FA3C55" w:rsidRDefault="00A0048C">
      <w:pPr>
        <w:pStyle w:val="TOC2"/>
        <w:tabs>
          <w:tab w:val="left" w:pos="880"/>
          <w:tab w:val="right" w:leader="dot" w:pos="9060"/>
        </w:tabs>
        <w:rPr>
          <w:rFonts w:eastAsiaTheme="minorEastAsia" w:cstheme="minorBidi"/>
          <w:smallCaps w:val="0"/>
          <w:noProof/>
          <w:sz w:val="22"/>
          <w:szCs w:val="22"/>
          <w:lang w:eastAsia="en-GB" w:bidi="ar-SA"/>
        </w:rPr>
      </w:pPr>
      <w:hyperlink w:anchor="_Toc81995113" w:history="1">
        <w:r w:rsidR="00FA3C55" w:rsidRPr="008C0C15">
          <w:rPr>
            <w:rStyle w:val="Hyperlink"/>
            <w:noProof/>
          </w:rPr>
          <w:t>5.3</w:t>
        </w:r>
        <w:r w:rsidR="00FA3C55">
          <w:rPr>
            <w:rFonts w:eastAsiaTheme="minorEastAsia" w:cstheme="minorBidi"/>
            <w:smallCaps w:val="0"/>
            <w:noProof/>
            <w:sz w:val="22"/>
            <w:szCs w:val="22"/>
            <w:lang w:eastAsia="en-GB" w:bidi="ar-SA"/>
          </w:rPr>
          <w:tab/>
        </w:r>
        <w:r w:rsidR="00FA3C55" w:rsidRPr="008C0C15">
          <w:rPr>
            <w:rStyle w:val="Hyperlink"/>
            <w:noProof/>
          </w:rPr>
          <w:t>Subsection 18(2)</w:t>
        </w:r>
        <w:r w:rsidR="00FA3C55">
          <w:rPr>
            <w:noProof/>
            <w:webHidden/>
          </w:rPr>
          <w:tab/>
        </w:r>
        <w:r w:rsidR="00FA3C55">
          <w:rPr>
            <w:noProof/>
            <w:webHidden/>
          </w:rPr>
          <w:fldChar w:fldCharType="begin"/>
        </w:r>
        <w:r w:rsidR="00FA3C55">
          <w:rPr>
            <w:noProof/>
            <w:webHidden/>
          </w:rPr>
          <w:instrText xml:space="preserve"> PAGEREF _Toc81995113 \h </w:instrText>
        </w:r>
        <w:r w:rsidR="00FA3C55">
          <w:rPr>
            <w:noProof/>
            <w:webHidden/>
          </w:rPr>
        </w:r>
        <w:r w:rsidR="00FA3C55">
          <w:rPr>
            <w:noProof/>
            <w:webHidden/>
          </w:rPr>
          <w:fldChar w:fldCharType="separate"/>
        </w:r>
        <w:r w:rsidR="00FA3C55">
          <w:rPr>
            <w:noProof/>
            <w:webHidden/>
          </w:rPr>
          <w:t>27</w:t>
        </w:r>
        <w:r w:rsidR="00FA3C55">
          <w:rPr>
            <w:noProof/>
            <w:webHidden/>
          </w:rPr>
          <w:fldChar w:fldCharType="end"/>
        </w:r>
      </w:hyperlink>
    </w:p>
    <w:p w14:paraId="4ED788EE" w14:textId="1F7358F1"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114" w:history="1">
        <w:r w:rsidR="00FA3C55" w:rsidRPr="008C0C15">
          <w:rPr>
            <w:rStyle w:val="Hyperlink"/>
            <w:noProof/>
          </w:rPr>
          <w:t>8</w:t>
        </w:r>
        <w:r w:rsidR="00FA3C55">
          <w:rPr>
            <w:rFonts w:eastAsiaTheme="minorEastAsia" w:cstheme="minorBidi"/>
            <w:b w:val="0"/>
            <w:bCs w:val="0"/>
            <w:caps w:val="0"/>
            <w:noProof/>
            <w:sz w:val="22"/>
            <w:szCs w:val="22"/>
            <w:lang w:eastAsia="en-GB" w:bidi="ar-SA"/>
          </w:rPr>
          <w:tab/>
        </w:r>
        <w:r w:rsidR="00FA3C55" w:rsidRPr="008C0C15">
          <w:rPr>
            <w:rStyle w:val="Hyperlink"/>
            <w:noProof/>
          </w:rPr>
          <w:t>Draft variation</w:t>
        </w:r>
        <w:r w:rsidR="00FA3C55">
          <w:rPr>
            <w:noProof/>
            <w:webHidden/>
          </w:rPr>
          <w:tab/>
        </w:r>
        <w:r w:rsidR="00FA3C55">
          <w:rPr>
            <w:noProof/>
            <w:webHidden/>
          </w:rPr>
          <w:fldChar w:fldCharType="begin"/>
        </w:r>
        <w:r w:rsidR="00FA3C55">
          <w:rPr>
            <w:noProof/>
            <w:webHidden/>
          </w:rPr>
          <w:instrText xml:space="preserve"> PAGEREF _Toc81995114 \h </w:instrText>
        </w:r>
        <w:r w:rsidR="00FA3C55">
          <w:rPr>
            <w:noProof/>
            <w:webHidden/>
          </w:rPr>
        </w:r>
        <w:r w:rsidR="00FA3C55">
          <w:rPr>
            <w:noProof/>
            <w:webHidden/>
          </w:rPr>
          <w:fldChar w:fldCharType="separate"/>
        </w:r>
        <w:r w:rsidR="00FA3C55">
          <w:rPr>
            <w:noProof/>
            <w:webHidden/>
          </w:rPr>
          <w:t>28</w:t>
        </w:r>
        <w:r w:rsidR="00FA3C55">
          <w:rPr>
            <w:noProof/>
            <w:webHidden/>
          </w:rPr>
          <w:fldChar w:fldCharType="end"/>
        </w:r>
      </w:hyperlink>
    </w:p>
    <w:p w14:paraId="3DACEC73" w14:textId="293B3EE8" w:rsidR="00FA3C55" w:rsidRDefault="00A0048C">
      <w:pPr>
        <w:pStyle w:val="TOC1"/>
        <w:tabs>
          <w:tab w:val="left" w:pos="440"/>
          <w:tab w:val="right" w:leader="dot" w:pos="9060"/>
        </w:tabs>
        <w:rPr>
          <w:rFonts w:eastAsiaTheme="minorEastAsia" w:cstheme="minorBidi"/>
          <w:b w:val="0"/>
          <w:bCs w:val="0"/>
          <w:caps w:val="0"/>
          <w:noProof/>
          <w:sz w:val="22"/>
          <w:szCs w:val="22"/>
          <w:lang w:eastAsia="en-GB" w:bidi="ar-SA"/>
        </w:rPr>
      </w:pPr>
      <w:hyperlink w:anchor="_Toc81995115" w:history="1">
        <w:r w:rsidR="00FA3C55" w:rsidRPr="008C0C15">
          <w:rPr>
            <w:rStyle w:val="Hyperlink"/>
            <w:noProof/>
          </w:rPr>
          <w:t>9</w:t>
        </w:r>
        <w:r w:rsidR="00FA3C55">
          <w:rPr>
            <w:rFonts w:eastAsiaTheme="minorEastAsia" w:cstheme="minorBidi"/>
            <w:b w:val="0"/>
            <w:bCs w:val="0"/>
            <w:caps w:val="0"/>
            <w:noProof/>
            <w:sz w:val="22"/>
            <w:szCs w:val="22"/>
            <w:lang w:eastAsia="en-GB" w:bidi="ar-SA"/>
          </w:rPr>
          <w:tab/>
        </w:r>
        <w:r w:rsidR="00FA3C55" w:rsidRPr="008C0C15">
          <w:rPr>
            <w:rStyle w:val="Hyperlink"/>
            <w:noProof/>
          </w:rPr>
          <w:t>References</w:t>
        </w:r>
        <w:r w:rsidR="00FA3C55">
          <w:rPr>
            <w:noProof/>
            <w:webHidden/>
          </w:rPr>
          <w:tab/>
        </w:r>
        <w:r w:rsidR="00FA3C55">
          <w:rPr>
            <w:noProof/>
            <w:webHidden/>
          </w:rPr>
          <w:fldChar w:fldCharType="begin"/>
        </w:r>
        <w:r w:rsidR="00FA3C55">
          <w:rPr>
            <w:noProof/>
            <w:webHidden/>
          </w:rPr>
          <w:instrText xml:space="preserve"> PAGEREF _Toc81995115 \h </w:instrText>
        </w:r>
        <w:r w:rsidR="00FA3C55">
          <w:rPr>
            <w:noProof/>
            <w:webHidden/>
          </w:rPr>
        </w:r>
        <w:r w:rsidR="00FA3C55">
          <w:rPr>
            <w:noProof/>
            <w:webHidden/>
          </w:rPr>
          <w:fldChar w:fldCharType="separate"/>
        </w:r>
        <w:r w:rsidR="00FA3C55">
          <w:rPr>
            <w:noProof/>
            <w:webHidden/>
          </w:rPr>
          <w:t>29</w:t>
        </w:r>
        <w:r w:rsidR="00FA3C55">
          <w:rPr>
            <w:noProof/>
            <w:webHidden/>
          </w:rPr>
          <w:fldChar w:fldCharType="end"/>
        </w:r>
      </w:hyperlink>
    </w:p>
    <w:p w14:paraId="2DF7D763" w14:textId="09A908D1" w:rsidR="00FA3C55" w:rsidRDefault="00A0048C">
      <w:pPr>
        <w:pStyle w:val="TOC2"/>
        <w:tabs>
          <w:tab w:val="right" w:leader="dot" w:pos="9060"/>
        </w:tabs>
        <w:rPr>
          <w:rFonts w:eastAsiaTheme="minorEastAsia" w:cstheme="minorBidi"/>
          <w:smallCaps w:val="0"/>
          <w:noProof/>
          <w:sz w:val="22"/>
          <w:szCs w:val="22"/>
          <w:lang w:eastAsia="en-GB" w:bidi="ar-SA"/>
        </w:rPr>
      </w:pPr>
      <w:hyperlink w:anchor="_Toc81995116" w:history="1">
        <w:r w:rsidR="00FA3C55" w:rsidRPr="008C0C15">
          <w:rPr>
            <w:rStyle w:val="Hyperlink"/>
            <w:noProof/>
          </w:rPr>
          <w:t>Attachment A – Approved draft variation to the Australia New Zealand Food Standards Code</w:t>
        </w:r>
        <w:r w:rsidR="00FA3C55">
          <w:rPr>
            <w:noProof/>
            <w:webHidden/>
          </w:rPr>
          <w:tab/>
        </w:r>
        <w:r w:rsidR="00FA3C55">
          <w:rPr>
            <w:noProof/>
            <w:webHidden/>
          </w:rPr>
          <w:fldChar w:fldCharType="begin"/>
        </w:r>
        <w:r w:rsidR="00FA3C55">
          <w:rPr>
            <w:noProof/>
            <w:webHidden/>
          </w:rPr>
          <w:instrText xml:space="preserve"> PAGEREF _Toc81995116 \h </w:instrText>
        </w:r>
        <w:r w:rsidR="00FA3C55">
          <w:rPr>
            <w:noProof/>
            <w:webHidden/>
          </w:rPr>
        </w:r>
        <w:r w:rsidR="00FA3C55">
          <w:rPr>
            <w:noProof/>
            <w:webHidden/>
          </w:rPr>
          <w:fldChar w:fldCharType="separate"/>
        </w:r>
        <w:r w:rsidR="00FA3C55">
          <w:rPr>
            <w:noProof/>
            <w:webHidden/>
          </w:rPr>
          <w:t>32</w:t>
        </w:r>
        <w:r w:rsidR="00FA3C55">
          <w:rPr>
            <w:noProof/>
            <w:webHidden/>
          </w:rPr>
          <w:fldChar w:fldCharType="end"/>
        </w:r>
      </w:hyperlink>
    </w:p>
    <w:p w14:paraId="180EC21D" w14:textId="0E3BF600" w:rsidR="00FA3C55" w:rsidRDefault="00A0048C">
      <w:pPr>
        <w:pStyle w:val="TOC2"/>
        <w:tabs>
          <w:tab w:val="right" w:leader="dot" w:pos="9060"/>
        </w:tabs>
        <w:rPr>
          <w:rFonts w:eastAsiaTheme="minorEastAsia" w:cstheme="minorBidi"/>
          <w:smallCaps w:val="0"/>
          <w:noProof/>
          <w:sz w:val="22"/>
          <w:szCs w:val="22"/>
          <w:lang w:eastAsia="en-GB" w:bidi="ar-SA"/>
        </w:rPr>
      </w:pPr>
      <w:hyperlink w:anchor="_Toc81995117" w:history="1">
        <w:r w:rsidR="00FA3C55" w:rsidRPr="008C0C15">
          <w:rPr>
            <w:rStyle w:val="Hyperlink"/>
            <w:noProof/>
          </w:rPr>
          <w:t>Attachment B – Explanatory Statement</w:t>
        </w:r>
        <w:r w:rsidR="00FA3C55">
          <w:rPr>
            <w:noProof/>
            <w:webHidden/>
          </w:rPr>
          <w:tab/>
        </w:r>
        <w:r w:rsidR="00FA3C55">
          <w:rPr>
            <w:noProof/>
            <w:webHidden/>
          </w:rPr>
          <w:fldChar w:fldCharType="begin"/>
        </w:r>
        <w:r w:rsidR="00FA3C55">
          <w:rPr>
            <w:noProof/>
            <w:webHidden/>
          </w:rPr>
          <w:instrText xml:space="preserve"> PAGEREF _Toc81995117 \h </w:instrText>
        </w:r>
        <w:r w:rsidR="00FA3C55">
          <w:rPr>
            <w:noProof/>
            <w:webHidden/>
          </w:rPr>
        </w:r>
        <w:r w:rsidR="00FA3C55">
          <w:rPr>
            <w:noProof/>
            <w:webHidden/>
          </w:rPr>
          <w:fldChar w:fldCharType="separate"/>
        </w:r>
        <w:r w:rsidR="00FA3C55">
          <w:rPr>
            <w:noProof/>
            <w:webHidden/>
          </w:rPr>
          <w:t>36</w:t>
        </w:r>
        <w:r w:rsidR="00FA3C55">
          <w:rPr>
            <w:noProof/>
            <w:webHidden/>
          </w:rPr>
          <w:fldChar w:fldCharType="end"/>
        </w:r>
      </w:hyperlink>
    </w:p>
    <w:p w14:paraId="0939A183" w14:textId="6022EDDA" w:rsidR="00FA3C55" w:rsidRDefault="00A0048C">
      <w:pPr>
        <w:pStyle w:val="TOC2"/>
        <w:tabs>
          <w:tab w:val="right" w:leader="dot" w:pos="9060"/>
        </w:tabs>
        <w:rPr>
          <w:rFonts w:eastAsiaTheme="minorEastAsia" w:cstheme="minorBidi"/>
          <w:smallCaps w:val="0"/>
          <w:noProof/>
          <w:sz w:val="22"/>
          <w:szCs w:val="22"/>
          <w:lang w:eastAsia="en-GB" w:bidi="ar-SA"/>
        </w:rPr>
      </w:pPr>
      <w:hyperlink w:anchor="_Toc81995118" w:history="1">
        <w:r w:rsidR="00FA3C55" w:rsidRPr="008C0C15">
          <w:rPr>
            <w:rStyle w:val="Hyperlink"/>
            <w:noProof/>
          </w:rPr>
          <w:t xml:space="preserve">Attachment C – Draft variation to the </w:t>
        </w:r>
        <w:r w:rsidR="00FA3C55" w:rsidRPr="008C0C15">
          <w:rPr>
            <w:rStyle w:val="Hyperlink"/>
            <w:i/>
            <w:noProof/>
          </w:rPr>
          <w:t xml:space="preserve">Australia New Zealand Food Standards Code </w:t>
        </w:r>
        <w:r w:rsidR="00FA3C55" w:rsidRPr="008C0C15">
          <w:rPr>
            <w:rStyle w:val="Hyperlink"/>
            <w:noProof/>
          </w:rPr>
          <w:t>(call for submissions)</w:t>
        </w:r>
        <w:r w:rsidR="00FA3C55">
          <w:rPr>
            <w:noProof/>
            <w:webHidden/>
          </w:rPr>
          <w:tab/>
        </w:r>
        <w:r w:rsidR="00FA3C55">
          <w:rPr>
            <w:noProof/>
            <w:webHidden/>
          </w:rPr>
          <w:fldChar w:fldCharType="begin"/>
        </w:r>
        <w:r w:rsidR="00FA3C55">
          <w:rPr>
            <w:noProof/>
            <w:webHidden/>
          </w:rPr>
          <w:instrText xml:space="preserve"> PAGEREF _Toc81995118 \h </w:instrText>
        </w:r>
        <w:r w:rsidR="00FA3C55">
          <w:rPr>
            <w:noProof/>
            <w:webHidden/>
          </w:rPr>
        </w:r>
        <w:r w:rsidR="00FA3C55">
          <w:rPr>
            <w:noProof/>
            <w:webHidden/>
          </w:rPr>
          <w:fldChar w:fldCharType="separate"/>
        </w:r>
        <w:r w:rsidR="00FA3C55">
          <w:rPr>
            <w:noProof/>
            <w:webHidden/>
          </w:rPr>
          <w:t>40</w:t>
        </w:r>
        <w:r w:rsidR="00FA3C55">
          <w:rPr>
            <w:noProof/>
            <w:webHidden/>
          </w:rPr>
          <w:fldChar w:fldCharType="end"/>
        </w:r>
      </w:hyperlink>
    </w:p>
    <w:p w14:paraId="44DC0344" w14:textId="345E79CB" w:rsidR="00DE5CC1" w:rsidRPr="00FA3C55" w:rsidRDefault="00B55714" w:rsidP="00FA3C55">
      <w:r w:rsidRPr="00346622">
        <w:rPr>
          <w:rFonts w:cs="Arial"/>
          <w:sz w:val="20"/>
          <w:szCs w:val="20"/>
        </w:rPr>
        <w:fldChar w:fldCharType="end"/>
      </w:r>
    </w:p>
    <w:p w14:paraId="64CB5B03" w14:textId="77BDBBD6" w:rsidR="00A671E6" w:rsidRPr="00DE5CC1" w:rsidRDefault="00A671E6" w:rsidP="00FA3C55">
      <w:pPr>
        <w:spacing w:before="120" w:after="120"/>
        <w:rPr>
          <w:b/>
          <w:bCs/>
        </w:rPr>
      </w:pPr>
      <w:r w:rsidRPr="000B427A">
        <w:rPr>
          <w:b/>
          <w:bCs/>
        </w:rPr>
        <w:t>S</w:t>
      </w:r>
      <w:r w:rsidR="007C22CB" w:rsidRPr="000B427A">
        <w:rPr>
          <w:b/>
          <w:bCs/>
        </w:rPr>
        <w:t>upporting</w:t>
      </w:r>
      <w:r w:rsidR="00224E3B" w:rsidRPr="000B427A">
        <w:rPr>
          <w:b/>
          <w:bCs/>
        </w:rPr>
        <w:t xml:space="preserve"> document</w:t>
      </w:r>
      <w:r w:rsidR="00DE5CC1">
        <w:rPr>
          <w:b/>
          <w:bCs/>
        </w:rPr>
        <w:t xml:space="preserve"> </w:t>
      </w:r>
    </w:p>
    <w:p w14:paraId="170EDE21" w14:textId="330E9175" w:rsidR="007A53BF" w:rsidRPr="00FA3C55" w:rsidRDefault="007A53BF" w:rsidP="00510B7A">
      <w:pPr>
        <w:spacing w:before="120" w:after="120"/>
        <w:rPr>
          <w:szCs w:val="22"/>
        </w:rPr>
      </w:pPr>
      <w:r w:rsidRPr="00EE76E1">
        <w:rPr>
          <w:szCs w:val="22"/>
        </w:rPr>
        <w:t xml:space="preserve">The </w:t>
      </w:r>
      <w:hyperlink r:id="rId20" w:history="1">
        <w:r w:rsidRPr="00FA3C55">
          <w:rPr>
            <w:rStyle w:val="Hyperlink"/>
            <w:szCs w:val="22"/>
          </w:rPr>
          <w:t>following document</w:t>
        </w:r>
      </w:hyperlink>
      <w:r w:rsidRPr="00EE76E1">
        <w:rPr>
          <w:szCs w:val="22"/>
        </w:rPr>
        <w:t xml:space="preserve"> </w:t>
      </w:r>
      <w:r w:rsidR="009B5C12">
        <w:rPr>
          <w:szCs w:val="22"/>
        </w:rPr>
        <w:t xml:space="preserve">which </w:t>
      </w:r>
      <w:r>
        <w:rPr>
          <w:szCs w:val="22"/>
        </w:rPr>
        <w:t xml:space="preserve">informed the </w:t>
      </w:r>
      <w:r w:rsidRPr="00EE76E1">
        <w:rPr>
          <w:szCs w:val="22"/>
        </w:rPr>
        <w:t xml:space="preserve">assessment of this Application </w:t>
      </w:r>
      <w:r w:rsidR="009B5C12">
        <w:rPr>
          <w:szCs w:val="22"/>
        </w:rPr>
        <w:t>is</w:t>
      </w:r>
      <w:r w:rsidRPr="00EE76E1">
        <w:rPr>
          <w:szCs w:val="22"/>
        </w:rPr>
        <w:t xml:space="preserve"> available </w:t>
      </w:r>
      <w:r w:rsidRPr="0089264A">
        <w:rPr>
          <w:szCs w:val="22"/>
        </w:rPr>
        <w:t>on the FSANZ website</w:t>
      </w:r>
      <w:r w:rsidR="00FF3E26" w:rsidRPr="00FA3C55">
        <w:rPr>
          <w:szCs w:val="22"/>
        </w:rPr>
        <w:t>:</w:t>
      </w:r>
    </w:p>
    <w:p w14:paraId="4912FDD0" w14:textId="488A877D" w:rsidR="003C4969" w:rsidRPr="00CA5734" w:rsidRDefault="00EE76E1" w:rsidP="00FA3C55">
      <w:pPr>
        <w:widowControl/>
        <w:spacing w:before="120" w:after="120"/>
        <w:ind w:left="1134" w:hanging="1134"/>
      </w:pPr>
      <w:r w:rsidRPr="00FA3C55">
        <w:t>SD1</w:t>
      </w:r>
      <w:r w:rsidRPr="00FA3C55">
        <w:tab/>
        <w:t xml:space="preserve">Risk and safety </w:t>
      </w:r>
      <w:r w:rsidRPr="00D92EF0">
        <w:t>assessment</w:t>
      </w:r>
      <w:r>
        <w:t xml:space="preserve"> report</w:t>
      </w:r>
      <w:r w:rsidR="009B5C12">
        <w:t xml:space="preserve"> (at Approval)</w:t>
      </w:r>
      <w:r w:rsidR="00D15A08" w:rsidRPr="00CA5734">
        <w:br w:type="page"/>
      </w:r>
    </w:p>
    <w:p w14:paraId="789FE269" w14:textId="77777777" w:rsidR="007A53BF" w:rsidRPr="007A53BF" w:rsidRDefault="007A53BF" w:rsidP="00DE5CC1">
      <w:pPr>
        <w:pStyle w:val="Heading1"/>
      </w:pPr>
      <w:bookmarkStart w:id="1" w:name="_Toc286391001"/>
      <w:bookmarkStart w:id="2" w:name="_Toc300933414"/>
      <w:bookmarkStart w:id="3" w:name="_Toc370223463"/>
      <w:bookmarkStart w:id="4" w:name="_Toc81995080"/>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14:paraId="1FE14442" w14:textId="06E73499" w:rsidR="00EE76E1" w:rsidRPr="00EE76E1" w:rsidRDefault="005400CB" w:rsidP="00510B7A">
      <w:pPr>
        <w:spacing w:before="120" w:after="120"/>
      </w:pPr>
      <w:r>
        <w:t>Food Standards Australia New Zealand (FSANZ)</w:t>
      </w:r>
      <w:r w:rsidRPr="00EE76E1">
        <w:t xml:space="preserve"> </w:t>
      </w:r>
      <w:r w:rsidR="00EE76E1" w:rsidRPr="00EE76E1">
        <w:t>has assessed an application by Chr. Hansen A/S</w:t>
      </w:r>
      <w:r w:rsidR="00B77F2E">
        <w:rPr>
          <w:rStyle w:val="FootnoteReference"/>
        </w:rPr>
        <w:footnoteReference w:id="4"/>
      </w:r>
      <w:r w:rsidR="00EE76E1" w:rsidRPr="00EE76E1">
        <w:t xml:space="preserve"> to amend the Australia New Zealand Food Standards Code (the Code) to permit the voluntary addition of ‘2′-fucosyllactose’ (2′-FL) produced via </w:t>
      </w:r>
      <w:r w:rsidR="00D26572" w:rsidRPr="00EE76E1">
        <w:t xml:space="preserve">microbial fermentation </w:t>
      </w:r>
      <w:r w:rsidR="00D26572">
        <w:t xml:space="preserve">of </w:t>
      </w:r>
      <w:r w:rsidR="00EE76E1" w:rsidRPr="00EE76E1">
        <w:t xml:space="preserve">new genetically modified (GM) </w:t>
      </w:r>
      <w:r w:rsidR="00D26572" w:rsidRPr="00D26572">
        <w:rPr>
          <w:i/>
        </w:rPr>
        <w:t xml:space="preserve">Escherichia coli </w:t>
      </w:r>
      <w:r w:rsidR="00D26572" w:rsidRPr="00EE76E1">
        <w:t>(</w:t>
      </w:r>
      <w:r w:rsidR="00D26572" w:rsidRPr="00EB3266">
        <w:rPr>
          <w:i/>
        </w:rPr>
        <w:t>E.coli</w:t>
      </w:r>
      <w:r w:rsidR="00D26572" w:rsidRPr="00EE76E1">
        <w:t xml:space="preserve">) </w:t>
      </w:r>
      <w:r w:rsidR="00D26572">
        <w:t xml:space="preserve">BL21 production </w:t>
      </w:r>
      <w:r w:rsidR="00EE76E1" w:rsidRPr="00EE76E1">
        <w:t>strain</w:t>
      </w:r>
      <w:r w:rsidR="00D26572">
        <w:t>s</w:t>
      </w:r>
      <w:r w:rsidR="00EE76E1" w:rsidRPr="00EE76E1">
        <w:t xml:space="preserve"> in infant formula products (IFP) and formulated supplementary fo</w:t>
      </w:r>
      <w:r w:rsidR="00510B7A">
        <w:t>ods for young children (FSFYC).</w:t>
      </w:r>
    </w:p>
    <w:p w14:paraId="64449F78" w14:textId="6E5CEEF0" w:rsidR="00EE76E1" w:rsidRPr="00EE76E1" w:rsidRDefault="00EE76E1" w:rsidP="00510B7A">
      <w:pPr>
        <w:spacing w:before="120" w:after="120"/>
      </w:pPr>
      <w:r w:rsidRPr="00EE76E1">
        <w:t xml:space="preserve">2′-FL is a non-digestible carbohydrate (oligosaccharide) found naturally in human milk. </w:t>
      </w:r>
      <w:r w:rsidR="005F1E79">
        <w:t xml:space="preserve">The </w:t>
      </w:r>
      <w:r w:rsidR="00571888">
        <w:t>a</w:t>
      </w:r>
      <w:r w:rsidR="005F1E79">
        <w:t>pplication</w:t>
      </w:r>
      <w:r w:rsidR="000141C8">
        <w:t>’</w:t>
      </w:r>
      <w:r w:rsidR="001048EB">
        <w:t xml:space="preserve">s stated </w:t>
      </w:r>
      <w:r w:rsidR="00D26572">
        <w:t xml:space="preserve">purpose for </w:t>
      </w:r>
      <w:r w:rsidR="00072704">
        <w:t>2′-FL</w:t>
      </w:r>
      <w:r w:rsidR="00D26572">
        <w:t xml:space="preserve"> </w:t>
      </w:r>
      <w:r w:rsidR="001048EB">
        <w:t>is to provide a</w:t>
      </w:r>
      <w:r w:rsidR="00A06F90">
        <w:t>n</w:t>
      </w:r>
      <w:r w:rsidR="00D26572">
        <w:t xml:space="preserve"> </w:t>
      </w:r>
      <w:r w:rsidR="001048EB">
        <w:t>infant formula product that more closely aligns with the composition of human milk</w:t>
      </w:r>
      <w:r w:rsidR="00A93CB5">
        <w:t>.</w:t>
      </w:r>
      <w:r w:rsidR="00D26572">
        <w:t xml:space="preserve"> </w:t>
      </w:r>
      <w:r w:rsidR="0071107C">
        <w:t xml:space="preserve">According to the applicant, the </w:t>
      </w:r>
      <w:r w:rsidR="001048EB">
        <w:t xml:space="preserve">benefits of </w:t>
      </w:r>
      <w:r w:rsidR="00072704">
        <w:t>2′-FL</w:t>
      </w:r>
      <w:r w:rsidR="001048EB">
        <w:t xml:space="preserve"> are hypothesi</w:t>
      </w:r>
      <w:r w:rsidR="000141C8">
        <w:t>s</w:t>
      </w:r>
      <w:r w:rsidR="001048EB">
        <w:t xml:space="preserve">ed to extend past infancy into toddlerhood and thus </w:t>
      </w:r>
      <w:r w:rsidR="00072704">
        <w:t>2′-FL</w:t>
      </w:r>
      <w:r w:rsidR="001048EB">
        <w:t xml:space="preserve"> will be beneficial in </w:t>
      </w:r>
      <w:r w:rsidR="008F3A36">
        <w:t>FSFYC</w:t>
      </w:r>
      <w:r w:rsidR="00D26572">
        <w:t xml:space="preserve">. </w:t>
      </w:r>
      <w:r w:rsidRPr="00EE76E1">
        <w:t>Permission was sought for a concentration use of not more than 2.0 g/L of 2′-FL, as consumed, in</w:t>
      </w:r>
      <w:r w:rsidR="00510B7A">
        <w:t xml:space="preserve"> both liquid and powdered form.</w:t>
      </w:r>
    </w:p>
    <w:p w14:paraId="1472225F" w14:textId="3892E3B4" w:rsidR="00427041" w:rsidRDefault="00EE76E1" w:rsidP="00510B7A">
      <w:pPr>
        <w:spacing w:before="120" w:after="120"/>
      </w:pPr>
      <w:r w:rsidRPr="00EE76E1">
        <w:t xml:space="preserve">The Code currently permits the voluntary addition of a specific </w:t>
      </w:r>
      <w:r w:rsidR="00D26572">
        <w:t>source</w:t>
      </w:r>
      <w:r w:rsidRPr="00EE76E1">
        <w:t xml:space="preserve"> of 2′-FL to</w:t>
      </w:r>
      <w:r w:rsidR="00EB3266">
        <w:t xml:space="preserve"> IFP</w:t>
      </w:r>
      <w:r w:rsidRPr="00EE76E1">
        <w:t xml:space="preserve"> subject to certain conditions.</w:t>
      </w:r>
      <w:r w:rsidR="008F3A36">
        <w:t xml:space="preserve"> </w:t>
      </w:r>
      <w:r w:rsidR="009A478F" w:rsidRPr="009A478F">
        <w:t xml:space="preserve">However, this permission does not apply to the applicant’s 2′-FL which has a different </w:t>
      </w:r>
      <w:r w:rsidR="009A478F">
        <w:t xml:space="preserve">GM </w:t>
      </w:r>
      <w:r w:rsidR="009A478F" w:rsidRPr="009A478F">
        <w:t>source and specifications</w:t>
      </w:r>
      <w:r w:rsidR="009A478F">
        <w:t xml:space="preserve">. </w:t>
      </w:r>
      <w:r w:rsidR="009A478F" w:rsidRPr="009A478F">
        <w:t xml:space="preserve">As such, a pre-market assessment of </w:t>
      </w:r>
      <w:r w:rsidR="00B031A5">
        <w:rPr>
          <w:szCs w:val="22"/>
        </w:rPr>
        <w:t>the applicant’s</w:t>
      </w:r>
      <w:r w:rsidR="009A478F" w:rsidRPr="009A478F">
        <w:t xml:space="preserve"> 2′-FL was required</w:t>
      </w:r>
      <w:r w:rsidR="00B031A5">
        <w:t xml:space="preserve"> and</w:t>
      </w:r>
      <w:r w:rsidR="00B031A5">
        <w:rPr>
          <w:szCs w:val="22"/>
        </w:rPr>
        <w:t xml:space="preserve"> the</w:t>
      </w:r>
      <w:r w:rsidR="00427041">
        <w:rPr>
          <w:szCs w:val="22"/>
        </w:rPr>
        <w:t xml:space="preserve"> </w:t>
      </w:r>
      <w:r w:rsidR="00072704">
        <w:rPr>
          <w:szCs w:val="22"/>
        </w:rPr>
        <w:t>2′-FL</w:t>
      </w:r>
      <w:r w:rsidR="00427041">
        <w:rPr>
          <w:szCs w:val="22"/>
        </w:rPr>
        <w:t xml:space="preserve"> is</w:t>
      </w:r>
      <w:r w:rsidR="00427041" w:rsidRPr="00B02DF1">
        <w:rPr>
          <w:szCs w:val="22"/>
        </w:rPr>
        <w:t xml:space="preserve"> eligible for an exclusivity period of 15 months</w:t>
      </w:r>
      <w:r w:rsidR="00427041">
        <w:rPr>
          <w:szCs w:val="22"/>
        </w:rPr>
        <w:t>.</w:t>
      </w:r>
      <w:r w:rsidR="00427041" w:rsidRPr="00EE76E1">
        <w:t xml:space="preserve"> </w:t>
      </w:r>
    </w:p>
    <w:p w14:paraId="07C607CB" w14:textId="28565624" w:rsidR="00430769" w:rsidRPr="009B6DF7" w:rsidRDefault="00430769" w:rsidP="00430769">
      <w:pPr>
        <w:widowControl/>
        <w:rPr>
          <w:szCs w:val="22"/>
          <w:lang w:val="en-AU"/>
        </w:rPr>
      </w:pPr>
      <w:r w:rsidRPr="00430769">
        <w:rPr>
          <w:szCs w:val="22"/>
        </w:rPr>
        <w:t xml:space="preserve">FSANZ’s safety and risk assessment </w:t>
      </w:r>
      <w:r w:rsidRPr="00430769">
        <w:rPr>
          <w:szCs w:val="22"/>
          <w:lang w:val="en-AU"/>
        </w:rPr>
        <w:t>found the applicant’s</w:t>
      </w:r>
      <w:r w:rsidRPr="00430769">
        <w:rPr>
          <w:szCs w:val="22"/>
        </w:rPr>
        <w:t xml:space="preserve"> </w:t>
      </w:r>
      <w:r w:rsidRPr="00430769">
        <w:rPr>
          <w:szCs w:val="22"/>
          <w:lang w:val="en-AU"/>
        </w:rPr>
        <w:t xml:space="preserve">2′-FL is </w:t>
      </w:r>
      <w:r w:rsidRPr="00430769">
        <w:rPr>
          <w:szCs w:val="22"/>
        </w:rPr>
        <w:t>chemically and structurally identical to those in human milk. Given</w:t>
      </w:r>
      <w:r w:rsidRPr="009B6DF7">
        <w:rPr>
          <w:szCs w:val="22"/>
          <w:lang w:val="en-AU"/>
        </w:rPr>
        <w:t xml:space="preserve"> there is a history of safe exposure to 2</w:t>
      </w:r>
      <w:r w:rsidRPr="009B6DF7">
        <w:rPr>
          <w:rFonts w:cs="Arial"/>
          <w:szCs w:val="22"/>
        </w:rPr>
        <w:t>′</w:t>
      </w:r>
      <w:r w:rsidRPr="009B6DF7">
        <w:rPr>
          <w:szCs w:val="22"/>
          <w:lang w:val="en-AU"/>
        </w:rPr>
        <w:t xml:space="preserve">-FL from human milk, FSANZ concluded there are no safety concerns with the addition of the applicant’s </w:t>
      </w:r>
      <w:r w:rsidR="000D790F" w:rsidRPr="00EE76E1">
        <w:t xml:space="preserve">2′-FL </w:t>
      </w:r>
      <w:r w:rsidRPr="009B6DF7">
        <w:rPr>
          <w:szCs w:val="22"/>
          <w:lang w:val="en-AU"/>
        </w:rPr>
        <w:t>produced by microbial fermentation to both IFP and FSFYC:</w:t>
      </w:r>
    </w:p>
    <w:p w14:paraId="5325B3E3" w14:textId="77777777" w:rsidR="00430769" w:rsidRPr="009B6DF7" w:rsidRDefault="00430769" w:rsidP="00430769">
      <w:pPr>
        <w:widowControl/>
        <w:numPr>
          <w:ilvl w:val="0"/>
          <w:numId w:val="34"/>
        </w:numPr>
        <w:spacing w:before="120" w:after="120"/>
        <w:ind w:left="714" w:hanging="357"/>
        <w:rPr>
          <w:szCs w:val="22"/>
          <w:lang w:val="en-AU"/>
        </w:rPr>
      </w:pPr>
      <w:r w:rsidRPr="009B6DF7">
        <w:rPr>
          <w:szCs w:val="22"/>
          <w:lang w:val="en-AU"/>
        </w:rPr>
        <w:t xml:space="preserve">at the level requested by the applicant, and </w:t>
      </w:r>
    </w:p>
    <w:p w14:paraId="79D6FA38" w14:textId="37B2178F" w:rsidR="0005642E" w:rsidRPr="0005642E" w:rsidRDefault="00430769" w:rsidP="0005642E">
      <w:pPr>
        <w:widowControl/>
        <w:numPr>
          <w:ilvl w:val="0"/>
          <w:numId w:val="34"/>
        </w:numPr>
        <w:spacing w:before="120" w:after="120"/>
        <w:ind w:left="714" w:hanging="357"/>
      </w:pPr>
      <w:r w:rsidRPr="009B6DF7">
        <w:rPr>
          <w:szCs w:val="22"/>
          <w:lang w:val="en-AU"/>
        </w:rPr>
        <w:t xml:space="preserve">at the higher level permitted for 2’-FL </w:t>
      </w:r>
      <w:r w:rsidRPr="009B6DF7">
        <w:rPr>
          <w:szCs w:val="22"/>
        </w:rPr>
        <w:t xml:space="preserve">sourced from </w:t>
      </w:r>
      <w:r w:rsidRPr="009B6DF7">
        <w:rPr>
          <w:i/>
          <w:szCs w:val="22"/>
        </w:rPr>
        <w:t>E. coli</w:t>
      </w:r>
      <w:r w:rsidRPr="009B6DF7">
        <w:rPr>
          <w:szCs w:val="22"/>
        </w:rPr>
        <w:t xml:space="preserve"> K-12 </w:t>
      </w:r>
      <w:r w:rsidRPr="009B6DF7">
        <w:rPr>
          <w:szCs w:val="22"/>
          <w:lang w:val="en-AU"/>
        </w:rPr>
        <w:t>in the Code (2.4 g/L - consistent with a range of levels found in mature human milk).</w:t>
      </w:r>
    </w:p>
    <w:p w14:paraId="5C6B29E8" w14:textId="2F900CC1" w:rsidR="00430769" w:rsidRDefault="00430769" w:rsidP="0005642E">
      <w:pPr>
        <w:widowControl/>
        <w:spacing w:before="120" w:after="120"/>
      </w:pPr>
      <w:r w:rsidRPr="00EE76E1">
        <w:t xml:space="preserve">FSANZ undertook an assessment of beneficial health outcomes </w:t>
      </w:r>
      <w:r>
        <w:t xml:space="preserve">proposed in the </w:t>
      </w:r>
      <w:r w:rsidR="00571888">
        <w:t>a</w:t>
      </w:r>
      <w:r>
        <w:t xml:space="preserve">pplication </w:t>
      </w:r>
      <w:r w:rsidRPr="00EE76E1">
        <w:t>in accordance with relevant Ministerial Policy Guidelines</w:t>
      </w:r>
      <w:r>
        <w:rPr>
          <w:rStyle w:val="FootnoteReference"/>
        </w:rPr>
        <w:footnoteReference w:id="5"/>
      </w:r>
      <w:r w:rsidRPr="00EE76E1">
        <w:t xml:space="preserve">. That assessment </w:t>
      </w:r>
      <w:r>
        <w:t xml:space="preserve">concluded </w:t>
      </w:r>
      <w:r>
        <w:rPr>
          <w:lang w:val="en-AU"/>
        </w:rPr>
        <w:t xml:space="preserve">there is </w:t>
      </w:r>
      <w:r w:rsidRPr="009843EC">
        <w:rPr>
          <w:lang w:val="en-AU"/>
        </w:rPr>
        <w:t>evidence to support</w:t>
      </w:r>
      <w:r>
        <w:rPr>
          <w:lang w:val="en-AU"/>
        </w:rPr>
        <w:t xml:space="preserve"> a role for 2′-FL</w:t>
      </w:r>
      <w:r w:rsidRPr="009843EC">
        <w:rPr>
          <w:lang w:val="en-AU"/>
        </w:rPr>
        <w:t xml:space="preserve"> </w:t>
      </w:r>
      <w:r>
        <w:rPr>
          <w:lang w:val="en-AU"/>
        </w:rPr>
        <w:t>in promoting a</w:t>
      </w:r>
      <w:r w:rsidRPr="009843EC">
        <w:rPr>
          <w:lang w:val="en-AU"/>
        </w:rPr>
        <w:t xml:space="preserve"> bifidogenic effect</w:t>
      </w:r>
      <w:r>
        <w:rPr>
          <w:lang w:val="en-AU"/>
        </w:rPr>
        <w:t xml:space="preserve"> and limiting</w:t>
      </w:r>
      <w:r w:rsidRPr="009843EC">
        <w:rPr>
          <w:lang w:val="en-AU"/>
        </w:rPr>
        <w:t xml:space="preserve"> infection by pathogenic strains of </w:t>
      </w:r>
      <w:r w:rsidRPr="00BB45E9">
        <w:rPr>
          <w:i/>
        </w:rPr>
        <w:t>Campylobacter jejuni</w:t>
      </w:r>
      <w:r w:rsidRPr="00BB45E9">
        <w:t xml:space="preserve"> </w:t>
      </w:r>
      <w:r>
        <w:t>(</w:t>
      </w:r>
      <w:r w:rsidRPr="00956448">
        <w:rPr>
          <w:i/>
          <w:lang w:val="en-AU"/>
        </w:rPr>
        <w:t>C</w:t>
      </w:r>
      <w:r>
        <w:rPr>
          <w:i/>
          <w:lang w:val="en-AU"/>
        </w:rPr>
        <w:t>. </w:t>
      </w:r>
      <w:r w:rsidRPr="00956448">
        <w:rPr>
          <w:i/>
          <w:lang w:val="en-AU"/>
        </w:rPr>
        <w:t>jejuni</w:t>
      </w:r>
      <w:r>
        <w:rPr>
          <w:lang w:val="en-AU"/>
        </w:rPr>
        <w:t>) in infants and young children, although</w:t>
      </w:r>
      <w:r w:rsidRPr="00250CDB">
        <w:rPr>
          <w:lang w:val="en-AU"/>
        </w:rPr>
        <w:t xml:space="preserve"> the evidence </w:t>
      </w:r>
      <w:r>
        <w:rPr>
          <w:lang w:val="en-AU"/>
        </w:rPr>
        <w:t xml:space="preserve">base for these effects in </w:t>
      </w:r>
      <w:r w:rsidRPr="00250CDB">
        <w:rPr>
          <w:lang w:val="en-AU"/>
        </w:rPr>
        <w:t xml:space="preserve">young children </w:t>
      </w:r>
      <w:r>
        <w:rPr>
          <w:lang w:val="en-AU"/>
        </w:rPr>
        <w:t>wa</w:t>
      </w:r>
      <w:r w:rsidRPr="00250CDB">
        <w:rPr>
          <w:lang w:val="en-AU"/>
        </w:rPr>
        <w:t xml:space="preserve">s </w:t>
      </w:r>
      <w:r>
        <w:rPr>
          <w:lang w:val="en-AU"/>
        </w:rPr>
        <w:t>fairly</w:t>
      </w:r>
      <w:r w:rsidRPr="00250CDB">
        <w:rPr>
          <w:lang w:val="en-AU"/>
        </w:rPr>
        <w:t xml:space="preserve"> limited.</w:t>
      </w:r>
      <w:r>
        <w:rPr>
          <w:lang w:val="en-AU"/>
        </w:rPr>
        <w:t xml:space="preserve"> </w:t>
      </w:r>
      <w:r>
        <w:t xml:space="preserve">The application provided </w:t>
      </w:r>
      <w:r>
        <w:rPr>
          <w:lang w:val="en-AU"/>
        </w:rPr>
        <w:t>information suggesting</w:t>
      </w:r>
      <w:r w:rsidR="00F60A13">
        <w:rPr>
          <w:lang w:val="en-AU"/>
        </w:rPr>
        <w:t xml:space="preserve"> </w:t>
      </w:r>
      <w:r>
        <w:t>that 2′-FL can mediate changes in the function of the immune response, the intestinal barrier, learning and memory and gut motility. There was limited evidence demonstrating these effects in humans. FSANZ concluded that for these stated health effects, the claims are not adequately supported by the evidence.</w:t>
      </w:r>
    </w:p>
    <w:p w14:paraId="7042A8E3" w14:textId="00D843CA" w:rsidR="001E0CE7" w:rsidRDefault="000141C8" w:rsidP="0005642E">
      <w:pPr>
        <w:widowControl/>
        <w:spacing w:before="120" w:after="120"/>
        <w:rPr>
          <w:rFonts w:eastAsia="Calibri"/>
        </w:rPr>
      </w:pPr>
      <w:r w:rsidRPr="003804C7">
        <w:t xml:space="preserve">Following assessment and preparation of </w:t>
      </w:r>
      <w:r w:rsidR="00914CFD">
        <w:t xml:space="preserve">the </w:t>
      </w:r>
      <w:r w:rsidRPr="003804C7">
        <w:t xml:space="preserve">draft variation, FSANZ called for submissions regarding the draft variation </w:t>
      </w:r>
      <w:r w:rsidRPr="005C3ECB">
        <w:t xml:space="preserve">from </w:t>
      </w:r>
      <w:r>
        <w:t xml:space="preserve">22 </w:t>
      </w:r>
      <w:r w:rsidR="00D26572">
        <w:t xml:space="preserve">July </w:t>
      </w:r>
      <w:r w:rsidR="009856D5">
        <w:t>2021</w:t>
      </w:r>
      <w:r>
        <w:t xml:space="preserve"> to </w:t>
      </w:r>
      <w:r w:rsidR="005D2C88">
        <w:t>19 August 2021. Ten</w:t>
      </w:r>
      <w:r w:rsidR="009856D5">
        <w:t xml:space="preserve"> submissions</w:t>
      </w:r>
      <w:r w:rsidR="005D2C88" w:rsidRPr="005D2C88">
        <w:rPr>
          <w:lang w:val="en-AU" w:bidi="ar-SA"/>
        </w:rPr>
        <w:t xml:space="preserve"> </w:t>
      </w:r>
      <w:r w:rsidR="005D2C88" w:rsidRPr="00050D5A">
        <w:rPr>
          <w:lang w:val="en-AU" w:bidi="ar-SA"/>
        </w:rPr>
        <w:t xml:space="preserve">were received, </w:t>
      </w:r>
      <w:r w:rsidR="005D2C88" w:rsidRPr="00050D5A">
        <w:rPr>
          <w:rFonts w:eastAsia="Calibri"/>
        </w:rPr>
        <w:t xml:space="preserve">all of which FSANZ had regard to (see </w:t>
      </w:r>
      <w:r w:rsidR="006D6386">
        <w:rPr>
          <w:rFonts w:eastAsia="Calibri"/>
        </w:rPr>
        <w:t>S</w:t>
      </w:r>
      <w:r w:rsidR="006D6386" w:rsidRPr="00AE58BB">
        <w:rPr>
          <w:rFonts w:eastAsia="Calibri"/>
        </w:rPr>
        <w:t xml:space="preserve">ection </w:t>
      </w:r>
      <w:r w:rsidR="00AE58BB">
        <w:rPr>
          <w:rFonts w:eastAsia="Calibri"/>
        </w:rPr>
        <w:t>2.1</w:t>
      </w:r>
      <w:r w:rsidR="005D2C88" w:rsidRPr="00050D5A">
        <w:rPr>
          <w:rFonts w:eastAsia="Calibri"/>
        </w:rPr>
        <w:t xml:space="preserve"> of this report for details of submissions made).</w:t>
      </w:r>
    </w:p>
    <w:p w14:paraId="02FD8EF8" w14:textId="65E6A173" w:rsidR="001E0CE7" w:rsidRDefault="0081587D" w:rsidP="005D2C88">
      <w:pPr>
        <w:widowControl/>
        <w:rPr>
          <w:rFonts w:eastAsia="Calibri"/>
        </w:rPr>
      </w:pPr>
      <w:r>
        <w:rPr>
          <w:lang w:val="en-AU"/>
        </w:rPr>
        <w:t>Noting the decision made by the Food Ministers</w:t>
      </w:r>
      <w:r w:rsidR="00CB18A8">
        <w:rPr>
          <w:lang w:val="en-AU"/>
        </w:rPr>
        <w:t>’</w:t>
      </w:r>
      <w:r>
        <w:rPr>
          <w:lang w:val="en-AU"/>
        </w:rPr>
        <w:t xml:space="preserve"> Meeting in November 2020 regarding the review for A1155</w:t>
      </w:r>
      <w:r>
        <w:rPr>
          <w:rStyle w:val="FootnoteReference"/>
          <w:lang w:val="en-AU"/>
        </w:rPr>
        <w:footnoteReference w:id="6"/>
      </w:r>
      <w:r>
        <w:rPr>
          <w:lang w:val="en-AU"/>
        </w:rPr>
        <w:t xml:space="preserve">, </w:t>
      </w:r>
      <w:r w:rsidR="00E122BF">
        <w:rPr>
          <w:lang w:val="en-AU"/>
        </w:rPr>
        <w:t xml:space="preserve">and to support the assessment of all available evidence for </w:t>
      </w:r>
      <w:r w:rsidR="00571888">
        <w:rPr>
          <w:lang w:val="en-AU"/>
        </w:rPr>
        <w:t>a</w:t>
      </w:r>
      <w:r w:rsidR="00E122BF">
        <w:rPr>
          <w:lang w:val="en-AU"/>
        </w:rPr>
        <w:t xml:space="preserve">pplication A1190, </w:t>
      </w:r>
      <w:r w:rsidR="001E0CE7">
        <w:rPr>
          <w:lang w:val="en-AU"/>
        </w:rPr>
        <w:t xml:space="preserve">FSANZ requested additional evidence from the applicant supporting a beneficial health outcome in young children </w:t>
      </w:r>
      <w:r w:rsidR="00F61CA6">
        <w:rPr>
          <w:lang w:val="en-AU"/>
        </w:rPr>
        <w:t xml:space="preserve">for </w:t>
      </w:r>
      <w:r w:rsidR="001E0CE7">
        <w:rPr>
          <w:lang w:val="en-AU"/>
        </w:rPr>
        <w:t xml:space="preserve">the addition of </w:t>
      </w:r>
      <w:r w:rsidR="001E0CE7" w:rsidRPr="000F2E89">
        <w:rPr>
          <w:lang w:val="en-AU"/>
        </w:rPr>
        <w:t>2′-FL</w:t>
      </w:r>
      <w:r w:rsidR="001E0CE7">
        <w:rPr>
          <w:lang w:val="en-AU"/>
        </w:rPr>
        <w:t xml:space="preserve"> in FSFYC. No additional evidence was available from the applicant and FSANZ did not identify any new scientific literature independently. </w:t>
      </w:r>
      <w:r w:rsidR="002260E4" w:rsidRPr="00FC1084">
        <w:t xml:space="preserve">Under section 30 of the FSANZ Act, </w:t>
      </w:r>
      <w:r w:rsidR="00280D17" w:rsidRPr="00FC1084">
        <w:t>FSANZ notified the applicant that a permission for the</w:t>
      </w:r>
      <w:r w:rsidR="002260E4" w:rsidRPr="00FC1084">
        <w:t xml:space="preserve"> addition of </w:t>
      </w:r>
      <w:r w:rsidR="002260E4" w:rsidRPr="00FC1084">
        <w:rPr>
          <w:lang w:val="en-AU"/>
        </w:rPr>
        <w:t>2′-FL in FSFYC</w:t>
      </w:r>
      <w:r w:rsidR="00280D17" w:rsidRPr="00FC1084">
        <w:rPr>
          <w:lang w:val="en-AU"/>
        </w:rPr>
        <w:t xml:space="preserve"> was not proposed in the call for submissions</w:t>
      </w:r>
      <w:r w:rsidR="002260E4" w:rsidRPr="00FC1084">
        <w:rPr>
          <w:lang w:val="en-AU"/>
        </w:rPr>
        <w:t xml:space="preserve">. </w:t>
      </w:r>
      <w:r w:rsidR="002260E4" w:rsidRPr="00FC1084">
        <w:rPr>
          <w:rFonts w:cs="Arial"/>
          <w:lang w:val="en-AU"/>
        </w:rPr>
        <w:t>Before public release,</w:t>
      </w:r>
      <w:r w:rsidR="002260E4" w:rsidRPr="00FC1084">
        <w:rPr>
          <w:lang w:val="en-AU"/>
        </w:rPr>
        <w:t xml:space="preserve"> the applicant accepted this variation and </w:t>
      </w:r>
      <w:r w:rsidR="005113A0" w:rsidRPr="00FC1084">
        <w:rPr>
          <w:lang w:val="en-AU"/>
        </w:rPr>
        <w:t>agreed</w:t>
      </w:r>
      <w:r w:rsidR="002260E4" w:rsidRPr="00FC1084">
        <w:rPr>
          <w:lang w:val="en-AU"/>
        </w:rPr>
        <w:t xml:space="preserve"> to proceed.</w:t>
      </w:r>
      <w:r w:rsidR="002260E4">
        <w:rPr>
          <w:lang w:val="en-AU"/>
        </w:rPr>
        <w:t xml:space="preserve"> </w:t>
      </w:r>
      <w:r w:rsidR="001E0CE7">
        <w:rPr>
          <w:lang w:val="en-AU"/>
        </w:rPr>
        <w:t xml:space="preserve">Additional studies were provided during the CFS </w:t>
      </w:r>
      <w:r w:rsidR="00280D17" w:rsidRPr="00FC1084">
        <w:rPr>
          <w:lang w:val="en-AU"/>
        </w:rPr>
        <w:t>from industry stakeholders,</w:t>
      </w:r>
      <w:r w:rsidR="00280D17">
        <w:rPr>
          <w:lang w:val="en-AU"/>
        </w:rPr>
        <w:t xml:space="preserve"> </w:t>
      </w:r>
      <w:r w:rsidR="001E0CE7">
        <w:rPr>
          <w:lang w:val="en-AU"/>
        </w:rPr>
        <w:t xml:space="preserve">however these were of low </w:t>
      </w:r>
      <w:r w:rsidR="001E0CE7">
        <w:rPr>
          <w:lang w:val="en-AU"/>
        </w:rPr>
        <w:lastRenderedPageBreak/>
        <w:t xml:space="preserve">quality and limited relevance, and therefore did not change FSANZ’s conclusions </w:t>
      </w:r>
      <w:r w:rsidR="001E0CE7">
        <w:rPr>
          <w:rFonts w:cs="Arial"/>
        </w:rPr>
        <w:t xml:space="preserve">(see </w:t>
      </w:r>
      <w:r w:rsidR="001E0CE7">
        <w:t xml:space="preserve">SD1 and Section 2.1 and 2.2 of this report). </w:t>
      </w:r>
    </w:p>
    <w:p w14:paraId="158677DC" w14:textId="407B1A6F" w:rsidR="00EE76E1" w:rsidRPr="00EE76E1" w:rsidRDefault="001E3ADB" w:rsidP="00510B7A">
      <w:pPr>
        <w:spacing w:before="120" w:after="120"/>
      </w:pPr>
      <w:r>
        <w:rPr>
          <w:lang w:bidi="ar-SA"/>
        </w:rPr>
        <w:t xml:space="preserve">Based on the information above and other relevant considerations set out </w:t>
      </w:r>
      <w:r w:rsidRPr="00B773C4">
        <w:rPr>
          <w:lang w:bidi="ar-SA"/>
        </w:rPr>
        <w:t xml:space="preserve">in this report, FSANZ </w:t>
      </w:r>
      <w:r>
        <w:rPr>
          <w:lang w:bidi="ar-SA"/>
        </w:rPr>
        <w:t>has</w:t>
      </w:r>
      <w:r w:rsidRPr="00B773C4">
        <w:rPr>
          <w:lang w:bidi="ar-SA"/>
        </w:rPr>
        <w:t xml:space="preserve"> </w:t>
      </w:r>
      <w:r w:rsidR="00914CFD">
        <w:rPr>
          <w:lang w:bidi="ar-SA"/>
        </w:rPr>
        <w:t xml:space="preserve">decided to </w:t>
      </w:r>
      <w:r w:rsidRPr="00B773C4">
        <w:rPr>
          <w:lang w:bidi="ar-SA"/>
        </w:rPr>
        <w:t>approve the draft variation proposed following assessment</w:t>
      </w:r>
      <w:r>
        <w:rPr>
          <w:lang w:bidi="ar-SA"/>
        </w:rPr>
        <w:t xml:space="preserve"> </w:t>
      </w:r>
      <w:r w:rsidR="00914CFD">
        <w:rPr>
          <w:lang w:bidi="ar-SA"/>
        </w:rPr>
        <w:t xml:space="preserve">with </w:t>
      </w:r>
      <w:r w:rsidR="00957371">
        <w:rPr>
          <w:lang w:bidi="ar-SA"/>
        </w:rPr>
        <w:t xml:space="preserve">three </w:t>
      </w:r>
      <w:r w:rsidR="00914CFD">
        <w:rPr>
          <w:lang w:bidi="ar-SA"/>
        </w:rPr>
        <w:t xml:space="preserve">editorial </w:t>
      </w:r>
      <w:r w:rsidR="00430F36">
        <w:rPr>
          <w:lang w:bidi="ar-SA"/>
        </w:rPr>
        <w:t>amendment</w:t>
      </w:r>
      <w:r w:rsidR="00914CFD">
        <w:rPr>
          <w:lang w:bidi="ar-SA"/>
        </w:rPr>
        <w:t>s made to correct typographical errors</w:t>
      </w:r>
      <w:r w:rsidRPr="00B773C4">
        <w:rPr>
          <w:lang w:bidi="ar-SA"/>
        </w:rPr>
        <w:t>.</w:t>
      </w:r>
      <w:r>
        <w:rPr>
          <w:lang w:bidi="ar-SA"/>
        </w:rPr>
        <w:t xml:space="preserve"> </w:t>
      </w:r>
      <w:r w:rsidR="00214AF0">
        <w:t>T</w:t>
      </w:r>
      <w:r w:rsidR="00444FAF">
        <w:t xml:space="preserve">he </w:t>
      </w:r>
      <w:r w:rsidR="00214AF0">
        <w:t xml:space="preserve">approved </w:t>
      </w:r>
      <w:r w:rsidR="00444FAF">
        <w:t>draft</w:t>
      </w:r>
      <w:r>
        <w:t xml:space="preserve"> </w:t>
      </w:r>
      <w:r w:rsidRPr="00B773C4">
        <w:t xml:space="preserve">variation will permit the </w:t>
      </w:r>
      <w:r w:rsidR="00710F56">
        <w:rPr>
          <w:rFonts w:cs="Arial"/>
          <w:szCs w:val="22"/>
        </w:rPr>
        <w:t>voluntary addition of the applicant</w:t>
      </w:r>
      <w:r>
        <w:rPr>
          <w:rFonts w:cs="Arial"/>
          <w:szCs w:val="22"/>
        </w:rPr>
        <w:t>’</w:t>
      </w:r>
      <w:r w:rsidR="00710F56">
        <w:rPr>
          <w:rFonts w:cs="Arial"/>
          <w:szCs w:val="22"/>
        </w:rPr>
        <w:t xml:space="preserve">s </w:t>
      </w:r>
      <w:r w:rsidR="00710F56" w:rsidRPr="00EE76E1">
        <w:t>2′-FL to IFP</w:t>
      </w:r>
      <w:r>
        <w:t xml:space="preserve">, </w:t>
      </w:r>
      <w:r w:rsidR="00EE76E1" w:rsidRPr="00EE76E1">
        <w:t xml:space="preserve">subject to the following Code requirements </w:t>
      </w:r>
      <w:r w:rsidR="00C41213">
        <w:t>and</w:t>
      </w:r>
      <w:r w:rsidR="00C41213" w:rsidRPr="00EE76E1">
        <w:t xml:space="preserve"> </w:t>
      </w:r>
      <w:r w:rsidR="00EE76E1" w:rsidRPr="00EE76E1">
        <w:t>conditions:</w:t>
      </w:r>
    </w:p>
    <w:p w14:paraId="62B0EA5E" w14:textId="14D3FC20" w:rsidR="00EE76E1" w:rsidRPr="00EE76E1" w:rsidRDefault="00EE76E1" w:rsidP="00510B7A">
      <w:pPr>
        <w:pStyle w:val="ListParagraph"/>
        <w:numPr>
          <w:ilvl w:val="0"/>
          <w:numId w:val="5"/>
        </w:numPr>
        <w:spacing w:before="120" w:after="120"/>
        <w:contextualSpacing w:val="0"/>
      </w:pPr>
      <w:r w:rsidRPr="00EE76E1">
        <w:t>It may be added up to a maximum level of 2.4 g/L for 2′-FL, as consumed (i.e. in powder or liquid form).</w:t>
      </w:r>
    </w:p>
    <w:p w14:paraId="381C01E0" w14:textId="6F15DBF1" w:rsidR="00EE76E1" w:rsidRPr="00EE76E1" w:rsidRDefault="00EE76E1" w:rsidP="00510B7A">
      <w:pPr>
        <w:pStyle w:val="ListParagraph"/>
        <w:numPr>
          <w:ilvl w:val="0"/>
          <w:numId w:val="5"/>
        </w:numPr>
        <w:spacing w:before="120" w:after="120"/>
        <w:contextualSpacing w:val="0"/>
      </w:pPr>
      <w:r w:rsidRPr="00EE76E1">
        <w:t>The existing prohibition for the use of 2′-FL with galacto-oligosaccharides and inulin-type fructans w</w:t>
      </w:r>
      <w:r w:rsidR="0073504E">
        <w:t>ill</w:t>
      </w:r>
      <w:r w:rsidRPr="00EE76E1">
        <w:t xml:space="preserve"> apply to IFP that contain the applicants 2′-FL.</w:t>
      </w:r>
    </w:p>
    <w:p w14:paraId="2580AD2B" w14:textId="11A74EF6" w:rsidR="00EE76E1" w:rsidRPr="00EE76E1" w:rsidRDefault="00EE76E1" w:rsidP="00510B7A">
      <w:pPr>
        <w:pStyle w:val="ListParagraph"/>
        <w:numPr>
          <w:ilvl w:val="0"/>
          <w:numId w:val="5"/>
        </w:numPr>
        <w:spacing w:before="120" w:after="120"/>
        <w:contextualSpacing w:val="0"/>
      </w:pPr>
      <w:r w:rsidRPr="00EE76E1">
        <w:t>The existing prohibition for the use of the words ‘human milk identical oligosaccharide’ or ‘human milk oligosaccharide’, and abbreviations ‘HMO’, ‘HiMO’, or any word or words or abbreviations having the same or similar effect, w</w:t>
      </w:r>
      <w:r w:rsidR="0073504E">
        <w:t>ill</w:t>
      </w:r>
      <w:r w:rsidRPr="00EE76E1">
        <w:t xml:space="preserve"> apply to IFP that contain the applicant’s 2′-FL. </w:t>
      </w:r>
    </w:p>
    <w:p w14:paraId="54800657" w14:textId="1D22DB83" w:rsidR="00EE76E1" w:rsidRPr="00EE76E1" w:rsidRDefault="00EE76E1" w:rsidP="00510B7A">
      <w:pPr>
        <w:pStyle w:val="ListParagraph"/>
        <w:numPr>
          <w:ilvl w:val="0"/>
          <w:numId w:val="5"/>
        </w:numPr>
        <w:spacing w:before="120" w:after="120"/>
        <w:contextualSpacing w:val="0"/>
      </w:pPr>
      <w:r w:rsidRPr="00EE76E1">
        <w:t>An exclusive permission to use the applicant’s 2′-FL w</w:t>
      </w:r>
      <w:r w:rsidR="0073504E">
        <w:t>ill</w:t>
      </w:r>
      <w:r w:rsidRPr="00EE76E1">
        <w:t xml:space="preserve"> apply for a period of 15 months, linked to the applicant’s brand name ‘CHR. HANSEN™ 2′-FL’, commencing on the date of gazettal of the variation.</w:t>
      </w:r>
    </w:p>
    <w:p w14:paraId="062BCCAC" w14:textId="200DCADD" w:rsidR="00914CFD" w:rsidRPr="00FC1084" w:rsidRDefault="00EE76E1" w:rsidP="00510B7A">
      <w:pPr>
        <w:pStyle w:val="ListParagraph"/>
        <w:numPr>
          <w:ilvl w:val="0"/>
          <w:numId w:val="5"/>
        </w:numPr>
        <w:spacing w:before="120" w:after="120"/>
        <w:contextualSpacing w:val="0"/>
      </w:pPr>
      <w:r w:rsidRPr="00FC1084">
        <w:t xml:space="preserve">Schedule 3 of the Code will set a </w:t>
      </w:r>
      <w:r w:rsidR="00A93CB5" w:rsidRPr="00FC1084">
        <w:t xml:space="preserve">new </w:t>
      </w:r>
      <w:r w:rsidRPr="00FC1084">
        <w:t>specification for the applicant’s 2′-FL, with which it must comply.</w:t>
      </w:r>
    </w:p>
    <w:p w14:paraId="42B0AC6A" w14:textId="1F12085E" w:rsidR="00484245" w:rsidRPr="00FC1084" w:rsidRDefault="00280D17" w:rsidP="001E0FF1">
      <w:pPr>
        <w:pStyle w:val="ListParagraph"/>
        <w:widowControl/>
        <w:numPr>
          <w:ilvl w:val="0"/>
          <w:numId w:val="5"/>
        </w:numPr>
        <w:spacing w:before="120" w:after="120"/>
        <w:contextualSpacing w:val="0"/>
        <w:rPr>
          <w:lang w:bidi="ar-SA"/>
        </w:rPr>
      </w:pPr>
      <w:r w:rsidRPr="00FC1084">
        <w:rPr>
          <w:lang w:bidi="ar-SA"/>
        </w:rPr>
        <w:t>The permission is subject to the outcome of the five year review</w:t>
      </w:r>
      <w:r w:rsidR="00484245" w:rsidRPr="00FC1084">
        <w:rPr>
          <w:rStyle w:val="FootnoteReference"/>
          <w:lang w:bidi="ar-SA"/>
        </w:rPr>
        <w:footnoteReference w:id="7"/>
      </w:r>
      <w:r w:rsidRPr="00FC1084">
        <w:rPr>
          <w:lang w:bidi="ar-SA"/>
        </w:rPr>
        <w:t xml:space="preserve"> (</w:t>
      </w:r>
      <w:r w:rsidR="005113A0" w:rsidRPr="00FC1084">
        <w:rPr>
          <w:lang w:bidi="ar-SA"/>
        </w:rPr>
        <w:t>to be completed by March</w:t>
      </w:r>
      <w:r w:rsidRPr="00FC1084">
        <w:rPr>
          <w:lang w:bidi="ar-SA"/>
        </w:rPr>
        <w:t xml:space="preserve"> 2026) which will </w:t>
      </w:r>
      <w:r w:rsidR="00484245" w:rsidRPr="00FC1084">
        <w:rPr>
          <w:lang w:bidi="ar-SA"/>
        </w:rPr>
        <w:t>re</w:t>
      </w:r>
      <w:r w:rsidRPr="00FC1084">
        <w:rPr>
          <w:lang w:bidi="ar-SA"/>
        </w:rPr>
        <w:t xml:space="preserve">assess </w:t>
      </w:r>
      <w:r w:rsidR="00484245" w:rsidRPr="00FC1084">
        <w:rPr>
          <w:lang w:bidi="ar-SA"/>
        </w:rPr>
        <w:t xml:space="preserve">the </w:t>
      </w:r>
      <w:r w:rsidRPr="00FC1084">
        <w:rPr>
          <w:lang w:bidi="ar-SA"/>
        </w:rPr>
        <w:t xml:space="preserve">evidence of a substantiated </w:t>
      </w:r>
      <w:r w:rsidRPr="00FC1084">
        <w:rPr>
          <w:rFonts w:cs="Arial"/>
          <w:szCs w:val="22"/>
          <w:lang w:bidi="ar-SA"/>
        </w:rPr>
        <w:t xml:space="preserve">beneficial </w:t>
      </w:r>
      <w:r w:rsidR="00484245" w:rsidRPr="00FC1084">
        <w:rPr>
          <w:rFonts w:cs="Arial"/>
          <w:szCs w:val="22"/>
          <w:lang w:bidi="ar-SA"/>
        </w:rPr>
        <w:t>role</w:t>
      </w:r>
      <w:r w:rsidRPr="00FC1084">
        <w:rPr>
          <w:rFonts w:cs="Arial"/>
          <w:szCs w:val="22"/>
          <w:lang w:bidi="ar-SA"/>
        </w:rPr>
        <w:t xml:space="preserve"> of </w:t>
      </w:r>
      <w:r w:rsidRPr="00FC1084">
        <w:rPr>
          <w:rFonts w:cs="Arial"/>
          <w:szCs w:val="22"/>
        </w:rPr>
        <w:t>2′-FL</w:t>
      </w:r>
      <w:r w:rsidR="00484245" w:rsidRPr="00FC1084">
        <w:rPr>
          <w:rFonts w:cs="Arial"/>
          <w:szCs w:val="22"/>
        </w:rPr>
        <w:t xml:space="preserve"> </w:t>
      </w:r>
      <w:r w:rsidR="00484245" w:rsidRPr="00FC1084">
        <w:rPr>
          <w:rFonts w:cs="Arial"/>
          <w:color w:val="222222"/>
          <w:szCs w:val="22"/>
          <w:shd w:val="clear" w:color="auto" w:fill="FFFFFF"/>
        </w:rPr>
        <w:t>in the normal growth and development of infants</w:t>
      </w:r>
      <w:r w:rsidRPr="00FC1084">
        <w:rPr>
          <w:rFonts w:cs="Arial"/>
          <w:szCs w:val="22"/>
          <w:lang w:bidi="ar-SA"/>
        </w:rPr>
        <w:t>.</w:t>
      </w:r>
    </w:p>
    <w:p w14:paraId="143F9864" w14:textId="1949EFD4" w:rsidR="00C836FF" w:rsidRDefault="00C836FF" w:rsidP="00914CFD">
      <w:pPr>
        <w:spacing w:before="120" w:after="120"/>
      </w:pPr>
      <w:r>
        <w:br w:type="page"/>
      </w:r>
    </w:p>
    <w:p w14:paraId="66C5FAE9" w14:textId="77777777" w:rsidR="007A53BF" w:rsidRPr="00DE5CC1" w:rsidRDefault="007A53BF" w:rsidP="00DE5CC1">
      <w:pPr>
        <w:pStyle w:val="Heading1"/>
      </w:pPr>
      <w:bookmarkStart w:id="10" w:name="_Toc300933417"/>
      <w:bookmarkStart w:id="11" w:name="_Toc370223464"/>
      <w:bookmarkStart w:id="12" w:name="_Toc81995081"/>
      <w:r w:rsidRPr="00DE5CC1">
        <w:lastRenderedPageBreak/>
        <w:t>1</w:t>
      </w:r>
      <w:r w:rsidRPr="00DE5CC1">
        <w:tab/>
        <w:t>Introduction</w:t>
      </w:r>
      <w:bookmarkEnd w:id="10"/>
      <w:bookmarkEnd w:id="11"/>
      <w:bookmarkEnd w:id="12"/>
    </w:p>
    <w:p w14:paraId="54379A87" w14:textId="3FDFBD20" w:rsidR="007A53BF" w:rsidRPr="00DE5CC1" w:rsidRDefault="007A53BF" w:rsidP="00DE5CC1">
      <w:pPr>
        <w:pStyle w:val="Heading2"/>
      </w:pPr>
      <w:bookmarkStart w:id="13" w:name="_Toc300761890"/>
      <w:bookmarkStart w:id="14" w:name="_Toc300933419"/>
      <w:bookmarkStart w:id="15" w:name="_Toc370223465"/>
      <w:bookmarkStart w:id="16" w:name="_Toc81995082"/>
      <w:r w:rsidRPr="00DE5CC1">
        <w:t>1.1</w:t>
      </w:r>
      <w:r w:rsidRPr="00DE5CC1">
        <w:tab/>
        <w:t>The Applicant</w:t>
      </w:r>
      <w:bookmarkEnd w:id="13"/>
      <w:bookmarkEnd w:id="14"/>
      <w:bookmarkEnd w:id="15"/>
      <w:bookmarkEnd w:id="16"/>
    </w:p>
    <w:p w14:paraId="5E03F08F" w14:textId="2553466F" w:rsidR="009856D5" w:rsidRDefault="005F1E79" w:rsidP="00510B7A">
      <w:pPr>
        <w:widowControl/>
        <w:spacing w:before="120" w:after="120"/>
        <w:rPr>
          <w:szCs w:val="22"/>
        </w:rPr>
      </w:pPr>
      <w:bookmarkStart w:id="17" w:name="_Toc300761891"/>
      <w:bookmarkStart w:id="18" w:name="_Toc300933420"/>
      <w:bookmarkStart w:id="19" w:name="_Toc370223466"/>
      <w:r>
        <w:rPr>
          <w:lang w:bidi="ar-SA"/>
        </w:rPr>
        <w:t xml:space="preserve">The </w:t>
      </w:r>
      <w:r w:rsidR="00F61CA6">
        <w:rPr>
          <w:lang w:bidi="ar-SA"/>
        </w:rPr>
        <w:t>a</w:t>
      </w:r>
      <w:r>
        <w:rPr>
          <w:lang w:bidi="ar-SA"/>
        </w:rPr>
        <w:t>pplication</w:t>
      </w:r>
      <w:r w:rsidR="009856D5">
        <w:rPr>
          <w:lang w:bidi="ar-SA"/>
        </w:rPr>
        <w:t xml:space="preserve"> was originally submitted by Jennewein Biotechnologies GmbH in September 2019. </w:t>
      </w:r>
      <w:r w:rsidR="009856D5">
        <w:rPr>
          <w:szCs w:val="22"/>
        </w:rPr>
        <w:t xml:space="preserve">On 9 October 2020, </w:t>
      </w:r>
      <w:r w:rsidR="009856D5" w:rsidRPr="00BB0A34">
        <w:rPr>
          <w:szCs w:val="22"/>
        </w:rPr>
        <w:t>Chr. Hansen A/S</w:t>
      </w:r>
      <w:r w:rsidR="009856D5">
        <w:rPr>
          <w:szCs w:val="22"/>
        </w:rPr>
        <w:t xml:space="preserve"> (Chr. Hansen)</w:t>
      </w:r>
      <w:r w:rsidR="009856D5" w:rsidRPr="00BB0A34">
        <w:rPr>
          <w:szCs w:val="22"/>
        </w:rPr>
        <w:t xml:space="preserve"> acquired Jennewein Bio</w:t>
      </w:r>
      <w:r w:rsidR="009856D5">
        <w:rPr>
          <w:szCs w:val="22"/>
        </w:rPr>
        <w:t xml:space="preserve">technologie GmbH. FSANZ received formal notification that Chr. Hansen </w:t>
      </w:r>
      <w:r w:rsidR="00B70475">
        <w:rPr>
          <w:szCs w:val="22"/>
        </w:rPr>
        <w:t xml:space="preserve">was </w:t>
      </w:r>
      <w:r w:rsidR="009856D5">
        <w:rPr>
          <w:szCs w:val="22"/>
        </w:rPr>
        <w:t xml:space="preserve">now the applicant for A1190, however </w:t>
      </w:r>
      <w:r w:rsidR="009856D5" w:rsidRPr="00BB0A34">
        <w:rPr>
          <w:szCs w:val="22"/>
        </w:rPr>
        <w:t xml:space="preserve">other details </w:t>
      </w:r>
      <w:r w:rsidR="009856D5">
        <w:rPr>
          <w:szCs w:val="22"/>
        </w:rPr>
        <w:t>remain</w:t>
      </w:r>
      <w:r w:rsidR="00B70475">
        <w:rPr>
          <w:szCs w:val="22"/>
        </w:rPr>
        <w:t>ed</w:t>
      </w:r>
      <w:r w:rsidR="009856D5">
        <w:rPr>
          <w:szCs w:val="22"/>
        </w:rPr>
        <w:t xml:space="preserve"> unchanged</w:t>
      </w:r>
      <w:r w:rsidR="009856D5" w:rsidRPr="00BB0A34">
        <w:rPr>
          <w:szCs w:val="22"/>
        </w:rPr>
        <w:t xml:space="preserve"> i.e. its legal entity (including same company identification number)</w:t>
      </w:r>
      <w:r w:rsidR="009856D5">
        <w:rPr>
          <w:szCs w:val="22"/>
        </w:rPr>
        <w:t>;</w:t>
      </w:r>
      <w:r w:rsidR="009856D5" w:rsidRPr="00BB0A34">
        <w:rPr>
          <w:szCs w:val="22"/>
        </w:rPr>
        <w:t xml:space="preserve"> manufacturing premises</w:t>
      </w:r>
      <w:r w:rsidR="009856D5">
        <w:rPr>
          <w:szCs w:val="22"/>
        </w:rPr>
        <w:t>;</w:t>
      </w:r>
      <w:r w:rsidR="009856D5" w:rsidRPr="00BB0A34">
        <w:rPr>
          <w:szCs w:val="22"/>
        </w:rPr>
        <w:t xml:space="preserve"> manufacturing processes and qua</w:t>
      </w:r>
      <w:r w:rsidR="009856D5">
        <w:rPr>
          <w:szCs w:val="22"/>
        </w:rPr>
        <w:t>l</w:t>
      </w:r>
      <w:r w:rsidR="00510B7A">
        <w:rPr>
          <w:szCs w:val="22"/>
        </w:rPr>
        <w:t>ity systems and certifications.</w:t>
      </w:r>
    </w:p>
    <w:p w14:paraId="583098E8" w14:textId="77777777" w:rsidR="009856D5" w:rsidRPr="00746933" w:rsidRDefault="009856D5" w:rsidP="00510B7A">
      <w:pPr>
        <w:widowControl/>
        <w:spacing w:before="120" w:after="120"/>
        <w:rPr>
          <w:lang w:bidi="ar-SA"/>
        </w:rPr>
      </w:pPr>
      <w:r>
        <w:rPr>
          <w:szCs w:val="22"/>
        </w:rPr>
        <w:t xml:space="preserve">Chr. Hansen </w:t>
      </w:r>
      <w:r>
        <w:rPr>
          <w:rFonts w:cs="Arial"/>
          <w:lang w:val="en"/>
        </w:rPr>
        <w:t>is a global bioscience company that develops natural ingredient solutions for the food, nutritional, pharmaceutical and agricultural industries.</w:t>
      </w:r>
    </w:p>
    <w:p w14:paraId="74F19653" w14:textId="5ADACE41" w:rsidR="007A53BF" w:rsidRPr="00DE5CC1" w:rsidRDefault="007A53BF" w:rsidP="00DE5CC1">
      <w:pPr>
        <w:pStyle w:val="Heading2"/>
      </w:pPr>
      <w:bookmarkStart w:id="20" w:name="_Toc81995083"/>
      <w:r w:rsidRPr="00DE5CC1">
        <w:t>1.2</w:t>
      </w:r>
      <w:r w:rsidRPr="00DE5CC1">
        <w:tab/>
      </w:r>
      <w:r w:rsidR="005F1E79">
        <w:t>The Application</w:t>
      </w:r>
      <w:bookmarkEnd w:id="17"/>
      <w:bookmarkEnd w:id="18"/>
      <w:bookmarkEnd w:id="19"/>
      <w:bookmarkEnd w:id="20"/>
    </w:p>
    <w:p w14:paraId="69FD99E0" w14:textId="0E4B3148" w:rsidR="009856D5" w:rsidRDefault="005F1E79" w:rsidP="00510B7A">
      <w:pPr>
        <w:widowControl/>
        <w:spacing w:before="120" w:after="120"/>
        <w:rPr>
          <w:szCs w:val="22"/>
        </w:rPr>
      </w:pPr>
      <w:bookmarkStart w:id="21" w:name="_Toc300761892"/>
      <w:bookmarkStart w:id="22" w:name="_Toc300933421"/>
      <w:bookmarkStart w:id="23" w:name="_Toc370223467"/>
      <w:r>
        <w:rPr>
          <w:szCs w:val="22"/>
        </w:rPr>
        <w:t xml:space="preserve">The </w:t>
      </w:r>
      <w:r w:rsidR="00F61CA6">
        <w:rPr>
          <w:szCs w:val="22"/>
        </w:rPr>
        <w:t>a</w:t>
      </w:r>
      <w:r>
        <w:rPr>
          <w:szCs w:val="22"/>
        </w:rPr>
        <w:t>pplication</w:t>
      </w:r>
      <w:r w:rsidR="009856D5">
        <w:rPr>
          <w:szCs w:val="22"/>
        </w:rPr>
        <w:t xml:space="preserve"> </w:t>
      </w:r>
      <w:r w:rsidR="00B70475">
        <w:rPr>
          <w:szCs w:val="22"/>
        </w:rPr>
        <w:t>sought</w:t>
      </w:r>
      <w:r w:rsidR="009856D5">
        <w:rPr>
          <w:szCs w:val="22"/>
        </w:rPr>
        <w:t xml:space="preserve"> to amend the </w:t>
      </w:r>
      <w:r w:rsidR="009856D5" w:rsidRPr="00E1609C">
        <w:rPr>
          <w:szCs w:val="22"/>
        </w:rPr>
        <w:t>Australia New Zealand Food Standards Code</w:t>
      </w:r>
      <w:r w:rsidR="009856D5">
        <w:rPr>
          <w:szCs w:val="22"/>
        </w:rPr>
        <w:t xml:space="preserve"> (the Code) to permit </w:t>
      </w:r>
      <w:r w:rsidR="009856D5" w:rsidRPr="00830414">
        <w:rPr>
          <w:szCs w:val="22"/>
        </w:rPr>
        <w:t xml:space="preserve">the </w:t>
      </w:r>
      <w:r w:rsidR="009856D5" w:rsidRPr="00843230">
        <w:rPr>
          <w:szCs w:val="22"/>
        </w:rPr>
        <w:t>voluntary addition</w:t>
      </w:r>
      <w:r w:rsidR="009856D5" w:rsidRPr="00830414">
        <w:rPr>
          <w:szCs w:val="22"/>
        </w:rPr>
        <w:t xml:space="preserve"> of</w:t>
      </w:r>
      <w:r w:rsidR="009856D5">
        <w:rPr>
          <w:szCs w:val="22"/>
        </w:rPr>
        <w:t xml:space="preserve"> 2′-fucosyllactose (2′-FL), </w:t>
      </w:r>
      <w:r w:rsidR="009856D5" w:rsidRPr="00830414">
        <w:rPr>
          <w:szCs w:val="22"/>
        </w:rPr>
        <w:t>in infant formula</w:t>
      </w:r>
      <w:r w:rsidR="009856D5">
        <w:rPr>
          <w:szCs w:val="22"/>
        </w:rPr>
        <w:t xml:space="preserve"> products (IFP)</w:t>
      </w:r>
      <w:r w:rsidR="009856D5">
        <w:rPr>
          <w:rStyle w:val="FootnoteReference"/>
          <w:szCs w:val="22"/>
        </w:rPr>
        <w:footnoteReference w:id="8"/>
      </w:r>
      <w:r w:rsidR="009856D5">
        <w:rPr>
          <w:szCs w:val="22"/>
        </w:rPr>
        <w:t xml:space="preserve"> </w:t>
      </w:r>
      <w:r w:rsidR="009856D5" w:rsidRPr="00830414">
        <w:rPr>
          <w:szCs w:val="22"/>
        </w:rPr>
        <w:t>and formulated supplementary foods for young children (FSFYC)</w:t>
      </w:r>
      <w:r w:rsidR="009856D5">
        <w:rPr>
          <w:rStyle w:val="FootnoteReference"/>
          <w:szCs w:val="22"/>
        </w:rPr>
        <w:footnoteReference w:id="9"/>
      </w:r>
      <w:r w:rsidR="009856D5">
        <w:rPr>
          <w:szCs w:val="22"/>
        </w:rPr>
        <w:t xml:space="preserve">. 2′-FL is a non-digestible carbohydrate (oligosaccharide) </w:t>
      </w:r>
      <w:r w:rsidR="009856D5" w:rsidRPr="004F1B4D">
        <w:rPr>
          <w:szCs w:val="22"/>
        </w:rPr>
        <w:t xml:space="preserve">found naturally in </w:t>
      </w:r>
      <w:r w:rsidR="009856D5">
        <w:rPr>
          <w:szCs w:val="22"/>
        </w:rPr>
        <w:t xml:space="preserve">human </w:t>
      </w:r>
      <w:r w:rsidR="009856D5" w:rsidRPr="004F1B4D">
        <w:rPr>
          <w:szCs w:val="22"/>
        </w:rPr>
        <w:t>milk.</w:t>
      </w:r>
      <w:r w:rsidR="009856D5">
        <w:rPr>
          <w:szCs w:val="22"/>
        </w:rPr>
        <w:t xml:space="preserve"> </w:t>
      </w:r>
      <w:r>
        <w:rPr>
          <w:szCs w:val="22"/>
        </w:rPr>
        <w:t xml:space="preserve">The </w:t>
      </w:r>
      <w:r w:rsidR="00F61CA6">
        <w:rPr>
          <w:szCs w:val="22"/>
        </w:rPr>
        <w:t>a</w:t>
      </w:r>
      <w:r>
        <w:rPr>
          <w:szCs w:val="22"/>
        </w:rPr>
        <w:t>pplication</w:t>
      </w:r>
      <w:r w:rsidR="009856D5">
        <w:rPr>
          <w:szCs w:val="22"/>
        </w:rPr>
        <w:t xml:space="preserve"> is specifically for 2′-FL</w:t>
      </w:r>
      <w:r w:rsidR="009856D5">
        <w:rPr>
          <w:rStyle w:val="FootnoteReference"/>
          <w:szCs w:val="22"/>
        </w:rPr>
        <w:footnoteReference w:id="10"/>
      </w:r>
      <w:r w:rsidR="009856D5">
        <w:rPr>
          <w:szCs w:val="22"/>
        </w:rPr>
        <w:t xml:space="preserve"> produced by microbial </w:t>
      </w:r>
      <w:r w:rsidR="009856D5" w:rsidRPr="007B3A47">
        <w:rPr>
          <w:szCs w:val="22"/>
        </w:rPr>
        <w:t xml:space="preserve">fermentation </w:t>
      </w:r>
      <w:r w:rsidR="009856D5">
        <w:rPr>
          <w:szCs w:val="22"/>
        </w:rPr>
        <w:t xml:space="preserve">from </w:t>
      </w:r>
      <w:r w:rsidR="009856D5" w:rsidRPr="00E468C2">
        <w:rPr>
          <w:szCs w:val="22"/>
        </w:rPr>
        <w:t>genetically modified (GM</w:t>
      </w:r>
      <w:r w:rsidR="009856D5" w:rsidRPr="002526D1">
        <w:rPr>
          <w:szCs w:val="22"/>
        </w:rPr>
        <w:t xml:space="preserve">) </w:t>
      </w:r>
      <w:r w:rsidR="009856D5" w:rsidRPr="001441C1">
        <w:rPr>
          <w:i/>
        </w:rPr>
        <w:t>Escherichia coli</w:t>
      </w:r>
      <w:r w:rsidR="009856D5" w:rsidRPr="001441C1">
        <w:t xml:space="preserve"> (</w:t>
      </w:r>
      <w:r w:rsidR="009856D5" w:rsidRPr="001441C1">
        <w:rPr>
          <w:i/>
        </w:rPr>
        <w:t>E.coli</w:t>
      </w:r>
      <w:r w:rsidR="009856D5" w:rsidRPr="001441C1">
        <w:t>)</w:t>
      </w:r>
      <w:r w:rsidR="009856D5">
        <w:t xml:space="preserve"> BL21 strains</w:t>
      </w:r>
      <w:r w:rsidR="009856D5">
        <w:rPr>
          <w:szCs w:val="22"/>
        </w:rPr>
        <w:t xml:space="preserve">. </w:t>
      </w:r>
      <w:r>
        <w:rPr>
          <w:szCs w:val="22"/>
        </w:rPr>
        <w:t xml:space="preserve">The </w:t>
      </w:r>
      <w:r w:rsidR="00F61CA6">
        <w:rPr>
          <w:szCs w:val="22"/>
        </w:rPr>
        <w:t>a</w:t>
      </w:r>
      <w:r>
        <w:rPr>
          <w:szCs w:val="22"/>
        </w:rPr>
        <w:t>pplication</w:t>
      </w:r>
      <w:r w:rsidR="009856D5">
        <w:rPr>
          <w:szCs w:val="22"/>
        </w:rPr>
        <w:t xml:space="preserve"> claims the 2′-FL is </w:t>
      </w:r>
      <w:r w:rsidR="009856D5" w:rsidRPr="001441C1">
        <w:rPr>
          <w:szCs w:val="22"/>
        </w:rPr>
        <w:t>structurally and chemically</w:t>
      </w:r>
      <w:r w:rsidR="009856D5">
        <w:rPr>
          <w:szCs w:val="22"/>
        </w:rPr>
        <w:t xml:space="preserve"> identical to 2′-FL found in human milk</w:t>
      </w:r>
      <w:r w:rsidR="009856D5" w:rsidRPr="002C305E">
        <w:rPr>
          <w:szCs w:val="22"/>
        </w:rPr>
        <w:t>.</w:t>
      </w:r>
    </w:p>
    <w:p w14:paraId="7DF649D0" w14:textId="03F20075" w:rsidR="009856D5" w:rsidRPr="00510B7A" w:rsidRDefault="009856D5" w:rsidP="00510B7A">
      <w:pPr>
        <w:widowControl/>
        <w:spacing w:before="120" w:after="120"/>
        <w:rPr>
          <w:szCs w:val="22"/>
        </w:rPr>
      </w:pPr>
      <w:r w:rsidRPr="00B02DF1">
        <w:rPr>
          <w:szCs w:val="22"/>
        </w:rPr>
        <w:t xml:space="preserve">This is the second application FSANZ has assessed for 2′-FL. The first was application </w:t>
      </w:r>
      <w:r w:rsidRPr="00B02DF1">
        <w:rPr>
          <w:i/>
          <w:szCs w:val="22"/>
        </w:rPr>
        <w:t>A1155 -</w:t>
      </w:r>
      <w:r w:rsidRPr="00B02DF1">
        <w:rPr>
          <w:szCs w:val="22"/>
        </w:rPr>
        <w:t xml:space="preserve"> </w:t>
      </w:r>
      <w:r w:rsidRPr="00B02DF1">
        <w:rPr>
          <w:i/>
          <w:szCs w:val="22"/>
        </w:rPr>
        <w:t>2</w:t>
      </w:r>
      <w:r w:rsidRPr="00B02DF1">
        <w:rPr>
          <w:szCs w:val="22"/>
        </w:rPr>
        <w:t>′</w:t>
      </w:r>
      <w:r w:rsidRPr="00B02DF1">
        <w:rPr>
          <w:i/>
          <w:szCs w:val="22"/>
        </w:rPr>
        <w:t xml:space="preserve">-FL and </w:t>
      </w:r>
      <w:r w:rsidRPr="00B02DF1">
        <w:rPr>
          <w:rFonts w:cs="Arial"/>
          <w:i/>
          <w:szCs w:val="22"/>
          <w:lang w:val="en-AU"/>
        </w:rPr>
        <w:t>Lacto-N-neotetraose</w:t>
      </w:r>
      <w:r w:rsidRPr="00B02DF1">
        <w:rPr>
          <w:rFonts w:cs="Arial"/>
          <w:szCs w:val="22"/>
          <w:lang w:val="en-AU"/>
        </w:rPr>
        <w:t xml:space="preserve"> (</w:t>
      </w:r>
      <w:r w:rsidRPr="00B02DF1">
        <w:rPr>
          <w:i/>
          <w:szCs w:val="22"/>
        </w:rPr>
        <w:t>LNnT) in infant formula and other products</w:t>
      </w:r>
      <w:r w:rsidRPr="00B02DF1">
        <w:rPr>
          <w:szCs w:val="22"/>
        </w:rPr>
        <w:t>. While permission exists in the Code for 2′-FL from A1155, the source and specifications of the A1190 2′-FL are different</w:t>
      </w:r>
      <w:r w:rsidR="00A93CB5">
        <w:rPr>
          <w:szCs w:val="22"/>
        </w:rPr>
        <w:t>. It</w:t>
      </w:r>
      <w:r w:rsidRPr="00B02DF1">
        <w:rPr>
          <w:szCs w:val="22"/>
        </w:rPr>
        <w:t xml:space="preserve"> therefore required a pre-market assessment and</w:t>
      </w:r>
      <w:r w:rsidR="00B70475">
        <w:rPr>
          <w:szCs w:val="22"/>
        </w:rPr>
        <w:t xml:space="preserve"> wa</w:t>
      </w:r>
      <w:r w:rsidR="00EA0130">
        <w:rPr>
          <w:szCs w:val="22"/>
        </w:rPr>
        <w:t>s</w:t>
      </w:r>
      <w:r w:rsidRPr="00B02DF1">
        <w:rPr>
          <w:szCs w:val="22"/>
        </w:rPr>
        <w:t xml:space="preserve"> eligible for an e</w:t>
      </w:r>
      <w:r w:rsidR="00510B7A">
        <w:rPr>
          <w:szCs w:val="22"/>
        </w:rPr>
        <w:t>xclusivity period of 15 months.</w:t>
      </w:r>
    </w:p>
    <w:p w14:paraId="6C7AB003" w14:textId="1A719DD2" w:rsidR="009856D5" w:rsidRPr="00347198" w:rsidRDefault="009856D5" w:rsidP="00510B7A">
      <w:pPr>
        <w:widowControl/>
        <w:spacing w:before="120" w:after="120"/>
      </w:pPr>
      <w:r>
        <w:rPr>
          <w:szCs w:val="22"/>
        </w:rPr>
        <w:t>The applicant proposed an intended use level for 2</w:t>
      </w:r>
      <w:r>
        <w:t>′</w:t>
      </w:r>
      <w:r>
        <w:rPr>
          <w:szCs w:val="22"/>
        </w:rPr>
        <w:t>-FL in IFP</w:t>
      </w:r>
      <w:r w:rsidDel="00FD22B7">
        <w:rPr>
          <w:szCs w:val="22"/>
        </w:rPr>
        <w:t xml:space="preserve"> of 2 g/L</w:t>
      </w:r>
      <w:r>
        <w:rPr>
          <w:szCs w:val="22"/>
        </w:rPr>
        <w:t>, as consumed, in both liquid a</w:t>
      </w:r>
      <w:r w:rsidR="00EA0130">
        <w:rPr>
          <w:szCs w:val="22"/>
        </w:rPr>
        <w:t>nd powdered form. The applicant</w:t>
      </w:r>
      <w:r w:rsidR="00B70475">
        <w:rPr>
          <w:szCs w:val="22"/>
        </w:rPr>
        <w:t>’</w:t>
      </w:r>
      <w:r>
        <w:rPr>
          <w:szCs w:val="22"/>
        </w:rPr>
        <w:t>s stated purpose for adding 2</w:t>
      </w:r>
      <w:r>
        <w:t>′</w:t>
      </w:r>
      <w:r>
        <w:rPr>
          <w:szCs w:val="22"/>
        </w:rPr>
        <w:t>-FL to IFP is that it will result in higher quality products that more closely align with the composition of human milk. The applicant justifi</w:t>
      </w:r>
      <w:r w:rsidR="00B70475">
        <w:rPr>
          <w:szCs w:val="22"/>
        </w:rPr>
        <w:t>ed</w:t>
      </w:r>
      <w:r>
        <w:rPr>
          <w:szCs w:val="22"/>
        </w:rPr>
        <w:t xml:space="preserve"> the addition of their 2</w:t>
      </w:r>
      <w:r w:rsidRPr="004777D4">
        <w:t>′</w:t>
      </w:r>
      <w:r>
        <w:rPr>
          <w:szCs w:val="22"/>
        </w:rPr>
        <w:t>-FL to FSFYC by stating the benefits of 2</w:t>
      </w:r>
      <w:r w:rsidRPr="004777D4">
        <w:t>′</w:t>
      </w:r>
      <w:r>
        <w:rPr>
          <w:szCs w:val="22"/>
        </w:rPr>
        <w:t>-FL are hypothesised to extend past infancy.</w:t>
      </w:r>
    </w:p>
    <w:p w14:paraId="52B25BCE" w14:textId="75DD4246" w:rsidR="007A53BF" w:rsidRPr="00DE5CC1" w:rsidRDefault="007A53BF" w:rsidP="00DE5CC1">
      <w:pPr>
        <w:pStyle w:val="Heading2"/>
      </w:pPr>
      <w:bookmarkStart w:id="24" w:name="_Toc81995084"/>
      <w:r w:rsidRPr="00DE5CC1">
        <w:t>1.3</w:t>
      </w:r>
      <w:r w:rsidRPr="00DE5CC1">
        <w:tab/>
        <w:t>The current</w:t>
      </w:r>
      <w:r w:rsidR="00C67B14">
        <w:t xml:space="preserve"> </w:t>
      </w:r>
      <w:r w:rsidRPr="00DE5CC1">
        <w:t>Standard</w:t>
      </w:r>
      <w:bookmarkEnd w:id="21"/>
      <w:bookmarkEnd w:id="22"/>
      <w:bookmarkEnd w:id="23"/>
      <w:bookmarkEnd w:id="24"/>
      <w:r w:rsidR="00C67B14">
        <w:t>s</w:t>
      </w:r>
    </w:p>
    <w:p w14:paraId="52D176F5" w14:textId="6354B715" w:rsidR="009856D5" w:rsidRPr="00DE5CC1" w:rsidRDefault="009856D5" w:rsidP="00DE5CC1">
      <w:pPr>
        <w:pStyle w:val="Heading3"/>
      </w:pPr>
      <w:bookmarkStart w:id="25" w:name="_Toc467500931"/>
      <w:bookmarkStart w:id="26" w:name="_Toc525729983"/>
      <w:bookmarkStart w:id="27" w:name="_Toc527018228"/>
      <w:bookmarkStart w:id="28" w:name="_Toc11247894"/>
      <w:bookmarkStart w:id="29" w:name="_Toc14427188"/>
      <w:bookmarkStart w:id="30" w:name="_Toc22303658"/>
      <w:bookmarkStart w:id="31" w:name="_Toc22650321"/>
      <w:bookmarkStart w:id="32" w:name="_Toc73104819"/>
      <w:bookmarkStart w:id="33" w:name="_Toc77338766"/>
      <w:bookmarkStart w:id="34" w:name="_Toc81995085"/>
      <w:bookmarkStart w:id="35" w:name="_Toc286391007"/>
      <w:bookmarkStart w:id="36" w:name="_Toc300933423"/>
      <w:bookmarkStart w:id="37" w:name="_Toc370223468"/>
      <w:bookmarkStart w:id="38" w:name="_Toc175381432"/>
      <w:r w:rsidRPr="00DE5CC1">
        <w:t>1.3.1</w:t>
      </w:r>
      <w:r w:rsidRPr="00DE5CC1">
        <w:tab/>
        <w:t>Australia and New Zealand</w:t>
      </w:r>
      <w:bookmarkEnd w:id="25"/>
      <w:bookmarkEnd w:id="26"/>
      <w:bookmarkEnd w:id="27"/>
      <w:bookmarkEnd w:id="28"/>
      <w:bookmarkEnd w:id="29"/>
      <w:bookmarkEnd w:id="30"/>
      <w:bookmarkEnd w:id="31"/>
      <w:bookmarkEnd w:id="32"/>
      <w:bookmarkEnd w:id="33"/>
      <w:bookmarkEnd w:id="34"/>
    </w:p>
    <w:p w14:paraId="6096AF68" w14:textId="116F0E92" w:rsidR="00700B2F" w:rsidRPr="00C67B14" w:rsidRDefault="00700B2F" w:rsidP="00700B2F">
      <w:pPr>
        <w:widowControl/>
      </w:pPr>
      <w:r w:rsidRPr="00D57B27">
        <w:rPr>
          <w:rFonts w:cs="Arial"/>
          <w:color w:val="000000"/>
          <w:szCs w:val="22"/>
          <w:lang w:eastAsia="en-GB" w:bidi="ar-SA"/>
        </w:rPr>
        <w:t xml:space="preserve">Australian and New Zealand food laws require food for sale to comply with </w:t>
      </w:r>
      <w:r w:rsidRPr="008E4FA9">
        <w:rPr>
          <w:rFonts w:cs="Arial"/>
          <w:color w:val="000000"/>
          <w:szCs w:val="22"/>
          <w:lang w:eastAsia="en-GB" w:bidi="ar-SA"/>
        </w:rPr>
        <w:t xml:space="preserve">relevant requirements </w:t>
      </w:r>
      <w:r w:rsidRPr="00C67B14">
        <w:rPr>
          <w:rFonts w:cs="Arial"/>
          <w:szCs w:val="22"/>
          <w:lang w:eastAsia="en-GB" w:bidi="ar-SA"/>
        </w:rPr>
        <w:t>in the Code. The requirements in the Code relevant to this application are summarised below.</w:t>
      </w:r>
    </w:p>
    <w:p w14:paraId="0DD7127D" w14:textId="77777777" w:rsidR="009856D5" w:rsidRPr="00C67B14" w:rsidRDefault="009856D5" w:rsidP="00DE5CC1">
      <w:pPr>
        <w:pStyle w:val="Heading4"/>
      </w:pPr>
      <w:r w:rsidRPr="00C67B14">
        <w:t>1.3.1.1</w:t>
      </w:r>
      <w:r w:rsidRPr="00C67B14">
        <w:tab/>
        <w:t>Permitted use</w:t>
      </w:r>
    </w:p>
    <w:p w14:paraId="3220C4A4" w14:textId="1E5AECB5" w:rsidR="009856D5" w:rsidRDefault="009856D5" w:rsidP="00510B7A">
      <w:pPr>
        <w:widowControl/>
        <w:spacing w:before="120" w:after="120"/>
      </w:pPr>
      <w:r w:rsidRPr="001805AF">
        <w:t xml:space="preserve">Paragraphs 1.1.1—10(5)(c) and (6)(g) </w:t>
      </w:r>
      <w:r>
        <w:t>of Standard 1.1.1 require</w:t>
      </w:r>
      <w:r w:rsidRPr="001805AF">
        <w:t xml:space="preserve"> that, unless</w:t>
      </w:r>
      <w:r>
        <w:t xml:space="preserve"> expressly permitted</w:t>
      </w:r>
      <w:r w:rsidRPr="001805AF">
        <w:t xml:space="preserve">, a food for sale must not be a </w:t>
      </w:r>
      <w:r w:rsidRPr="00EC2441">
        <w:rPr>
          <w:i/>
        </w:rPr>
        <w:t>food produced using gene technology</w:t>
      </w:r>
      <w:r w:rsidR="00510B7A">
        <w:t>, or have as an ingredie</w:t>
      </w:r>
      <w:r w:rsidRPr="00213529">
        <w:t xml:space="preserve">nt or component a </w:t>
      </w:r>
      <w:r w:rsidRPr="00EC2441">
        <w:rPr>
          <w:i/>
        </w:rPr>
        <w:t>food produced using gene technology</w:t>
      </w:r>
      <w:r w:rsidRPr="00213529">
        <w:t xml:space="preserve">. </w:t>
      </w:r>
    </w:p>
    <w:p w14:paraId="4C79ECC0" w14:textId="199467B3" w:rsidR="009856D5" w:rsidRDefault="009856D5" w:rsidP="00510B7A">
      <w:pPr>
        <w:widowControl/>
        <w:spacing w:before="120" w:after="120"/>
      </w:pPr>
      <w:r>
        <w:lastRenderedPageBreak/>
        <w:t xml:space="preserve">The applicant’s 2′-FL is </w:t>
      </w:r>
      <w:r>
        <w:rPr>
          <w:i/>
        </w:rPr>
        <w:t>food</w:t>
      </w:r>
      <w:r w:rsidRPr="00C34DBE">
        <w:rPr>
          <w:i/>
        </w:rPr>
        <w:t xml:space="preserve"> produced using gene technology</w:t>
      </w:r>
      <w:r w:rsidRPr="00B35F00">
        <w:t xml:space="preserve"> </w:t>
      </w:r>
      <w:r>
        <w:t>(</w:t>
      </w:r>
      <w:r w:rsidR="00525168">
        <w:t xml:space="preserve">as defined in </w:t>
      </w:r>
      <w:r w:rsidR="00B05F7E">
        <w:t>Section</w:t>
      </w:r>
      <w:r w:rsidRPr="00B35F00">
        <w:t xml:space="preserve"> 1.1</w:t>
      </w:r>
      <w:r>
        <w:t xml:space="preserve">.2—2) as it is derived from </w:t>
      </w:r>
      <w:r w:rsidRPr="00B35F00">
        <w:t xml:space="preserve">an organism </w:t>
      </w:r>
      <w:r>
        <w:t xml:space="preserve">modified using gene technology </w:t>
      </w:r>
      <w:r w:rsidRPr="00B35F00">
        <w:t xml:space="preserve">(i.e. </w:t>
      </w:r>
      <w:r w:rsidR="00A64146">
        <w:t xml:space="preserve">sourced </w:t>
      </w:r>
      <w:r>
        <w:t xml:space="preserve">from </w:t>
      </w:r>
      <w:r w:rsidRPr="00B35F00">
        <w:t xml:space="preserve">GM </w:t>
      </w:r>
      <w:r w:rsidRPr="00B35F00">
        <w:rPr>
          <w:i/>
        </w:rPr>
        <w:t>E.</w:t>
      </w:r>
      <w:r w:rsidR="00072704">
        <w:rPr>
          <w:i/>
        </w:rPr>
        <w:t xml:space="preserve"> </w:t>
      </w:r>
      <w:r w:rsidRPr="00B35F00">
        <w:rPr>
          <w:i/>
        </w:rPr>
        <w:t>coli</w:t>
      </w:r>
      <w:r>
        <w:t xml:space="preserve"> </w:t>
      </w:r>
      <w:r w:rsidR="0009487A">
        <w:t xml:space="preserve">BL21 </w:t>
      </w:r>
      <w:r>
        <w:t>strains</w:t>
      </w:r>
      <w:r w:rsidRPr="00B35F00">
        <w:t xml:space="preserve">). </w:t>
      </w:r>
      <w:r w:rsidR="00A27B2E">
        <w:t>Consequently, e</w:t>
      </w:r>
      <w:r w:rsidR="00A27B2E" w:rsidRPr="00A27B2E">
        <w:t xml:space="preserve">xpress permission for the applicant’s 2′-FL is required </w:t>
      </w:r>
      <w:r w:rsidRPr="001805AF" w:rsidDel="00835E0C">
        <w:t xml:space="preserve">in accordance with Standard 1.5.2 </w:t>
      </w:r>
      <w:r>
        <w:t>(i.e. listed in Schedule 26 and comply with</w:t>
      </w:r>
      <w:r w:rsidR="00510B7A">
        <w:t xml:space="preserve"> any corresponding conditions).</w:t>
      </w:r>
    </w:p>
    <w:p w14:paraId="1A36607C" w14:textId="447C66F7" w:rsidR="004075FD" w:rsidRDefault="009856D5" w:rsidP="00510B7A">
      <w:pPr>
        <w:widowControl/>
        <w:spacing w:before="120" w:after="120"/>
      </w:pPr>
      <w:r>
        <w:t xml:space="preserve">In addition, paragraph </w:t>
      </w:r>
      <w:r w:rsidRPr="001805AF">
        <w:t>1.1.1—10</w:t>
      </w:r>
      <w:r>
        <w:t>(6)(b</w:t>
      </w:r>
      <w:r w:rsidRPr="001805AF">
        <w:t>)</w:t>
      </w:r>
      <w:r>
        <w:t xml:space="preserve"> of Standard 1.1.1 requires that, unless expressly permitted, a food for sale must not have as an ingredient or component </w:t>
      </w:r>
      <w:r w:rsidR="00072704">
        <w:t xml:space="preserve">a </w:t>
      </w:r>
      <w:r>
        <w:t xml:space="preserve">substance that was </w:t>
      </w:r>
      <w:r w:rsidRPr="0014740B">
        <w:rPr>
          <w:i/>
        </w:rPr>
        <w:t>used as a nutritive substance</w:t>
      </w:r>
      <w:r>
        <w:rPr>
          <w:i/>
        </w:rPr>
        <w:t xml:space="preserve"> </w:t>
      </w:r>
      <w:r>
        <w:t>(</w:t>
      </w:r>
      <w:r w:rsidR="004075FD">
        <w:t xml:space="preserve">as defined in </w:t>
      </w:r>
      <w:r w:rsidR="00B05F7E">
        <w:t>Section</w:t>
      </w:r>
      <w:r>
        <w:t xml:space="preserve"> </w:t>
      </w:r>
      <w:r w:rsidRPr="00B35F00">
        <w:t>1.1.2—</w:t>
      </w:r>
      <w:r>
        <w:t>1</w:t>
      </w:r>
      <w:r w:rsidRPr="00B35F00">
        <w:t>2</w:t>
      </w:r>
      <w:r>
        <w:t xml:space="preserve">). </w:t>
      </w:r>
    </w:p>
    <w:p w14:paraId="4D4D9970" w14:textId="7DE0F67D" w:rsidR="009856D5" w:rsidRDefault="009856D5" w:rsidP="00510B7A">
      <w:pPr>
        <w:widowControl/>
        <w:spacing w:before="120" w:after="120"/>
      </w:pPr>
      <w:r>
        <w:t xml:space="preserve">The applicant’s 2′-FL is </w:t>
      </w:r>
      <w:r w:rsidRPr="00D27117">
        <w:rPr>
          <w:i/>
        </w:rPr>
        <w:t>used as a nutritive substance</w:t>
      </w:r>
      <w:r>
        <w:t xml:space="preserve"> because its addition to food is intended to achieve specific nutritional purposes. Therefore, express permission for the applicant’s </w:t>
      </w:r>
      <w:r w:rsidRPr="001805AF" w:rsidDel="00835E0C">
        <w:t>2</w:t>
      </w:r>
      <w:r>
        <w:t>′</w:t>
      </w:r>
      <w:r w:rsidRPr="001805AF" w:rsidDel="00835E0C">
        <w:t xml:space="preserve">-FL </w:t>
      </w:r>
      <w:r>
        <w:t xml:space="preserve">to be </w:t>
      </w:r>
      <w:r>
        <w:rPr>
          <w:i/>
        </w:rPr>
        <w:t>used as a nutritive substance</w:t>
      </w:r>
      <w:r>
        <w:t xml:space="preserve"> </w:t>
      </w:r>
      <w:r w:rsidR="00A27B2E">
        <w:t xml:space="preserve">is required </w:t>
      </w:r>
      <w:r w:rsidRPr="00752C9A">
        <w:t xml:space="preserve">in accordance with Standard </w:t>
      </w:r>
      <w:r>
        <w:t xml:space="preserve">2.9.1 (i.e. be listed in </w:t>
      </w:r>
      <w:r w:rsidRPr="00752C9A">
        <w:t xml:space="preserve">the table to </w:t>
      </w:r>
      <w:r w:rsidR="00B05F7E">
        <w:t>Section</w:t>
      </w:r>
      <w:r w:rsidRPr="00752C9A">
        <w:t xml:space="preserve"> S29—5</w:t>
      </w:r>
      <w:r>
        <w:t xml:space="preserve">; and be in a permitted form at up to the maximum amount per 100 kJ specified in that table). This permission </w:t>
      </w:r>
      <w:r w:rsidR="00BA6D1A">
        <w:t>is</w:t>
      </w:r>
      <w:r>
        <w:t xml:space="preserve"> </w:t>
      </w:r>
      <w:r w:rsidR="00E11EB3">
        <w:t xml:space="preserve">separate and </w:t>
      </w:r>
      <w:r>
        <w:t xml:space="preserve">in addition to the permission </w:t>
      </w:r>
      <w:r w:rsidR="00E16A76">
        <w:t xml:space="preserve">required </w:t>
      </w:r>
      <w:r>
        <w:t>as</w:t>
      </w:r>
      <w:r w:rsidR="00E16A76">
        <w:t xml:space="preserve"> a</w:t>
      </w:r>
      <w:r>
        <w:t xml:space="preserve"> </w:t>
      </w:r>
      <w:r>
        <w:rPr>
          <w:i/>
        </w:rPr>
        <w:t>food produced using gene technology</w:t>
      </w:r>
      <w:r w:rsidR="00510B7A">
        <w:t xml:space="preserve"> above. </w:t>
      </w:r>
    </w:p>
    <w:p w14:paraId="35042B8A" w14:textId="02F4E121" w:rsidR="009856D5" w:rsidRDefault="009856D5" w:rsidP="00510B7A">
      <w:pPr>
        <w:widowControl/>
        <w:spacing w:before="120" w:after="120"/>
      </w:pPr>
      <w:r>
        <w:t>In addition</w:t>
      </w:r>
      <w:r w:rsidR="00BA6D1A">
        <w:t xml:space="preserve">, </w:t>
      </w:r>
      <w:r>
        <w:t xml:space="preserve">2′-FL </w:t>
      </w:r>
      <w:r w:rsidR="00BA6D1A">
        <w:t>is</w:t>
      </w:r>
      <w:r>
        <w:t xml:space="preserve"> </w:t>
      </w:r>
      <w:r w:rsidR="004075FD">
        <w:t xml:space="preserve">currently </w:t>
      </w:r>
      <w:r>
        <w:t xml:space="preserve">permitted </w:t>
      </w:r>
      <w:r w:rsidR="0050433D">
        <w:t>in</w:t>
      </w:r>
      <w:r>
        <w:t xml:space="preserve"> Standard 2.9.1 to be </w:t>
      </w:r>
      <w:r>
        <w:rPr>
          <w:i/>
        </w:rPr>
        <w:t>used as a nutritive substance</w:t>
      </w:r>
      <w:r>
        <w:t xml:space="preserve"> in IFP either alone; or in combination with Lacto-</w:t>
      </w:r>
      <w:r w:rsidRPr="00831AA1">
        <w:t>N</w:t>
      </w:r>
      <w:r>
        <w:t xml:space="preserve">-neotetraose (LNnT). </w:t>
      </w:r>
      <w:r w:rsidR="0050433D">
        <w:t xml:space="preserve">This </w:t>
      </w:r>
      <w:r w:rsidR="004075FD">
        <w:t>permission will apply to the applicant’s 2′-FL</w:t>
      </w:r>
      <w:r w:rsidR="0050433D">
        <w:t xml:space="preserve">. </w:t>
      </w:r>
    </w:p>
    <w:p w14:paraId="7C071C67" w14:textId="77777777" w:rsidR="009856D5" w:rsidRPr="00DE5CC1" w:rsidRDefault="009856D5" w:rsidP="00DE5CC1">
      <w:pPr>
        <w:pStyle w:val="Heading4"/>
      </w:pPr>
      <w:r w:rsidRPr="00DE5CC1">
        <w:t>1.3.1.2</w:t>
      </w:r>
      <w:r w:rsidRPr="00DE5CC1">
        <w:tab/>
        <w:t>Identity and purity</w:t>
      </w:r>
    </w:p>
    <w:p w14:paraId="37D9A25D" w14:textId="40AF8644" w:rsidR="009856D5" w:rsidRDefault="009856D5" w:rsidP="00510B7A">
      <w:pPr>
        <w:widowControl/>
        <w:spacing w:before="120" w:after="120"/>
      </w:pPr>
      <w:r>
        <w:t xml:space="preserve">Section 1.1.1—15 requires that a substance that is </w:t>
      </w:r>
      <w:r>
        <w:rPr>
          <w:i/>
        </w:rPr>
        <w:t xml:space="preserve">used as a nutritive substance </w:t>
      </w:r>
      <w:r w:rsidRPr="00E15323">
        <w:t xml:space="preserve">must comply with any relevant </w:t>
      </w:r>
      <w:r>
        <w:t xml:space="preserve">identity and purity </w:t>
      </w:r>
      <w:r w:rsidRPr="00E15323">
        <w:t>specification set out in Schedule 3</w:t>
      </w:r>
      <w:r>
        <w:t xml:space="preserve">. </w:t>
      </w:r>
      <w:r w:rsidR="005F1E79">
        <w:t>The Application</w:t>
      </w:r>
      <w:r>
        <w:t xml:space="preserve"> provided a proposed specification for the applicant’s 2′-FL for this purpose.</w:t>
      </w:r>
    </w:p>
    <w:p w14:paraId="3336A8DF" w14:textId="60B694ED" w:rsidR="009856D5" w:rsidRPr="00DE5CC1" w:rsidRDefault="009856D5" w:rsidP="00DE5CC1">
      <w:pPr>
        <w:pStyle w:val="Heading4"/>
      </w:pPr>
      <w:r w:rsidRPr="00DE5CC1">
        <w:t>1.3.1.3</w:t>
      </w:r>
      <w:r w:rsidRPr="00DE5CC1">
        <w:tab/>
        <w:t>Infant formula products</w:t>
      </w:r>
    </w:p>
    <w:p w14:paraId="52F939BE" w14:textId="3D8C6EDE" w:rsidR="009856D5" w:rsidRDefault="009856D5" w:rsidP="00510B7A">
      <w:pPr>
        <w:widowControl/>
        <w:spacing w:before="120" w:after="120"/>
        <w:rPr>
          <w:szCs w:val="22"/>
          <w:lang w:eastAsia="en-AU"/>
        </w:rPr>
      </w:pPr>
      <w:r>
        <w:rPr>
          <w:lang w:bidi="ar-SA"/>
        </w:rPr>
        <w:t>The composition of infant formula is regulated in Sta</w:t>
      </w:r>
      <w:r w:rsidR="003906C9">
        <w:rPr>
          <w:lang w:bidi="ar-SA"/>
        </w:rPr>
        <w:t xml:space="preserve">ndard </w:t>
      </w:r>
      <w:r w:rsidRPr="007B2E59">
        <w:rPr>
          <w:lang w:bidi="ar-SA"/>
        </w:rPr>
        <w:t xml:space="preserve">2.9.1 and </w:t>
      </w:r>
      <w:r w:rsidRPr="007B2E59">
        <w:rPr>
          <w:szCs w:val="22"/>
          <w:lang w:eastAsia="en-AU"/>
        </w:rPr>
        <w:t>Schedule 29</w:t>
      </w:r>
      <w:r>
        <w:rPr>
          <w:lang w:bidi="ar-SA"/>
        </w:rPr>
        <w:t xml:space="preserve">. This </w:t>
      </w:r>
      <w:r w:rsidR="00B239E6">
        <w:rPr>
          <w:lang w:bidi="ar-SA"/>
        </w:rPr>
        <w:t>S</w:t>
      </w:r>
      <w:r w:rsidR="00B239E6" w:rsidRPr="00723A62">
        <w:rPr>
          <w:szCs w:val="22"/>
          <w:lang w:eastAsia="en-AU"/>
        </w:rPr>
        <w:t xml:space="preserve">tandard </w:t>
      </w:r>
      <w:r>
        <w:rPr>
          <w:szCs w:val="22"/>
          <w:lang w:eastAsia="en-AU"/>
        </w:rPr>
        <w:t xml:space="preserve">(and associated </w:t>
      </w:r>
      <w:r w:rsidR="00B239E6">
        <w:rPr>
          <w:szCs w:val="22"/>
          <w:lang w:eastAsia="en-AU"/>
        </w:rPr>
        <w:t>Schedule</w:t>
      </w:r>
      <w:r>
        <w:rPr>
          <w:szCs w:val="22"/>
          <w:lang w:eastAsia="en-AU"/>
        </w:rPr>
        <w:t xml:space="preserve">) sets out specific </w:t>
      </w:r>
      <w:r w:rsidRPr="00723A62">
        <w:rPr>
          <w:szCs w:val="22"/>
          <w:lang w:eastAsia="en-AU"/>
        </w:rPr>
        <w:t>compositional and labelling requirements</w:t>
      </w:r>
      <w:r>
        <w:rPr>
          <w:szCs w:val="22"/>
          <w:lang w:eastAsia="en-AU"/>
        </w:rPr>
        <w:t xml:space="preserve"> </w:t>
      </w:r>
      <w:r w:rsidRPr="00723A62">
        <w:rPr>
          <w:szCs w:val="22"/>
          <w:lang w:eastAsia="en-AU"/>
        </w:rPr>
        <w:t>for</w:t>
      </w:r>
      <w:r>
        <w:rPr>
          <w:szCs w:val="22"/>
          <w:lang w:eastAsia="en-AU"/>
        </w:rPr>
        <w:t xml:space="preserve"> the following IFP:</w:t>
      </w:r>
    </w:p>
    <w:p w14:paraId="3E2919D8" w14:textId="77777777" w:rsidR="009856D5" w:rsidRDefault="009856D5" w:rsidP="00510B7A">
      <w:pPr>
        <w:pStyle w:val="FSBullet1"/>
        <w:numPr>
          <w:ilvl w:val="0"/>
          <w:numId w:val="6"/>
        </w:numPr>
        <w:spacing w:before="120" w:after="120"/>
        <w:ind w:left="567" w:hanging="567"/>
        <w:rPr>
          <w:lang w:val="en-AU"/>
        </w:rPr>
      </w:pPr>
      <w:r>
        <w:rPr>
          <w:szCs w:val="22"/>
          <w:lang w:eastAsia="en-AU"/>
        </w:rPr>
        <w:t xml:space="preserve">infant formula </w:t>
      </w:r>
      <w:r>
        <w:rPr>
          <w:lang w:val="en-AU"/>
        </w:rPr>
        <w:t>(for infants aged 0 to &lt;12 months)</w:t>
      </w:r>
    </w:p>
    <w:p w14:paraId="49D15BEB" w14:textId="77777777" w:rsidR="009856D5" w:rsidRDefault="009856D5" w:rsidP="00510B7A">
      <w:pPr>
        <w:pStyle w:val="FSBullet1"/>
        <w:numPr>
          <w:ilvl w:val="0"/>
          <w:numId w:val="6"/>
        </w:numPr>
        <w:spacing w:before="120" w:after="120"/>
        <w:ind w:left="567" w:hanging="567"/>
        <w:rPr>
          <w:lang w:val="en-AU"/>
        </w:rPr>
      </w:pPr>
      <w:r>
        <w:rPr>
          <w:lang w:val="en-AU"/>
        </w:rPr>
        <w:t>follow-on formula (for infants aged from 6 to &lt;12 months)</w:t>
      </w:r>
    </w:p>
    <w:p w14:paraId="7FC02826" w14:textId="77777777" w:rsidR="009856D5" w:rsidRDefault="009856D5" w:rsidP="00510B7A">
      <w:pPr>
        <w:pStyle w:val="FSBullet1"/>
        <w:numPr>
          <w:ilvl w:val="0"/>
          <w:numId w:val="6"/>
        </w:numPr>
        <w:spacing w:before="120" w:after="120"/>
        <w:ind w:left="567" w:hanging="567"/>
      </w:pPr>
      <w:r w:rsidRPr="00363332">
        <w:rPr>
          <w:lang w:val="en-AU"/>
        </w:rPr>
        <w:t>infant formula products for special dietary use (for infants aged 0 to &lt;12 months).</w:t>
      </w:r>
    </w:p>
    <w:p w14:paraId="09D13B96" w14:textId="49AAC9AC" w:rsidR="009856D5" w:rsidRPr="00DE5CC1" w:rsidRDefault="009856D5" w:rsidP="00DE5CC1">
      <w:pPr>
        <w:pStyle w:val="Heading4"/>
      </w:pPr>
      <w:r w:rsidRPr="00DE5CC1">
        <w:t>1.3.1.4</w:t>
      </w:r>
      <w:r w:rsidRPr="00DE5CC1">
        <w:tab/>
        <w:t>Formulated Supplementary Food for Young Children</w:t>
      </w:r>
    </w:p>
    <w:p w14:paraId="3AE78DAF" w14:textId="77777777" w:rsidR="009856D5" w:rsidRDefault="009856D5" w:rsidP="00510B7A">
      <w:pPr>
        <w:widowControl/>
        <w:spacing w:before="120" w:after="120"/>
      </w:pPr>
      <w:r>
        <w:rPr>
          <w:szCs w:val="22"/>
          <w:lang w:eastAsia="en-AU"/>
        </w:rPr>
        <w:t xml:space="preserve">Specific compositional and labelling requirements for FSFYC (for children aged from 1 to </w:t>
      </w:r>
      <w:r w:rsidRPr="006070E6">
        <w:rPr>
          <w:szCs w:val="22"/>
          <w:lang w:eastAsia="en-AU"/>
        </w:rPr>
        <w:t>&lt;4</w:t>
      </w:r>
      <w:r>
        <w:rPr>
          <w:szCs w:val="22"/>
          <w:lang w:eastAsia="en-AU"/>
        </w:rPr>
        <w:t xml:space="preserve"> years) are set out in Division 4 of </w:t>
      </w:r>
      <w:r w:rsidRPr="00723A62">
        <w:rPr>
          <w:szCs w:val="22"/>
          <w:lang w:eastAsia="en-AU"/>
        </w:rPr>
        <w:t>Standard 2.9.3</w:t>
      </w:r>
      <w:r>
        <w:rPr>
          <w:szCs w:val="22"/>
          <w:lang w:eastAsia="en-AU"/>
        </w:rPr>
        <w:t>, and in Schedules</w:t>
      </w:r>
      <w:r w:rsidRPr="00723A62">
        <w:rPr>
          <w:szCs w:val="22"/>
          <w:lang w:eastAsia="en-AU"/>
        </w:rPr>
        <w:t xml:space="preserve"> 17</w:t>
      </w:r>
      <w:r>
        <w:rPr>
          <w:szCs w:val="22"/>
          <w:lang w:eastAsia="en-AU"/>
        </w:rPr>
        <w:t xml:space="preserve"> </w:t>
      </w:r>
      <w:r w:rsidRPr="00723A62">
        <w:rPr>
          <w:szCs w:val="22"/>
          <w:lang w:eastAsia="en-AU"/>
        </w:rPr>
        <w:t>and 29</w:t>
      </w:r>
      <w:r>
        <w:rPr>
          <w:szCs w:val="22"/>
          <w:lang w:eastAsia="en-AU"/>
        </w:rPr>
        <w:t xml:space="preserve">. </w:t>
      </w:r>
    </w:p>
    <w:p w14:paraId="60334225" w14:textId="77777777" w:rsidR="009856D5" w:rsidRPr="00DE5CC1" w:rsidRDefault="009856D5" w:rsidP="00DE5CC1">
      <w:pPr>
        <w:pStyle w:val="Heading4"/>
      </w:pPr>
      <w:r w:rsidRPr="00DE5CC1">
        <w:t>1.3.1.5</w:t>
      </w:r>
      <w:r w:rsidRPr="00DE5CC1">
        <w:tab/>
        <w:t>Labelling requirements</w:t>
      </w:r>
    </w:p>
    <w:p w14:paraId="4EED2314" w14:textId="2778A93B" w:rsidR="009856D5" w:rsidRDefault="009856D5" w:rsidP="00510B7A">
      <w:pPr>
        <w:widowControl/>
        <w:spacing w:before="120" w:after="120"/>
        <w:rPr>
          <w:i/>
          <w:szCs w:val="22"/>
          <w:lang w:eastAsia="en-AU"/>
        </w:rPr>
      </w:pPr>
      <w:r>
        <w:t>Paragraph 1.1.1—10(8) requires that food for sale must comply with all relevant labelling requirements in the Code for that food.</w:t>
      </w:r>
      <w:r>
        <w:rPr>
          <w:szCs w:val="22"/>
          <w:lang w:eastAsia="en-AU"/>
        </w:rPr>
        <w:t xml:space="preserve"> In addition to specific labelling requirements in Standards 2.9.1</w:t>
      </w:r>
      <w:r w:rsidDel="00943C5C">
        <w:rPr>
          <w:szCs w:val="22"/>
          <w:lang w:eastAsia="en-AU"/>
        </w:rPr>
        <w:t xml:space="preserve"> and 2.9.3 (Division 4)</w:t>
      </w:r>
      <w:r>
        <w:rPr>
          <w:szCs w:val="22"/>
          <w:lang w:eastAsia="en-AU"/>
        </w:rPr>
        <w:t xml:space="preserve">, the following general labelling requirements also apply. </w:t>
      </w:r>
    </w:p>
    <w:p w14:paraId="742115AE" w14:textId="50F6216B" w:rsidR="009856D5" w:rsidRDefault="009856D5" w:rsidP="00510B7A">
      <w:pPr>
        <w:widowControl/>
        <w:spacing w:before="120" w:after="120"/>
      </w:pPr>
      <w:r>
        <w:t>Standard 1.2.4 generally requires food products to be labelled with a statement of ingredi</w:t>
      </w:r>
      <w:r w:rsidR="00510B7A">
        <w:t>ents.</w:t>
      </w:r>
    </w:p>
    <w:p w14:paraId="0BE88942" w14:textId="5800FB26" w:rsidR="009856D5" w:rsidRDefault="009856D5" w:rsidP="00510B7A">
      <w:pPr>
        <w:pStyle w:val="CommentText"/>
        <w:widowControl/>
        <w:spacing w:before="120" w:after="120"/>
        <w:rPr>
          <w:sz w:val="22"/>
          <w:szCs w:val="22"/>
        </w:rPr>
      </w:pPr>
      <w:r w:rsidRPr="0084446A">
        <w:rPr>
          <w:sz w:val="22"/>
          <w:szCs w:val="22"/>
        </w:rPr>
        <w:t xml:space="preserve">Standard 1.2.7 </w:t>
      </w:r>
      <w:r w:rsidRPr="006C7AF3">
        <w:rPr>
          <w:sz w:val="22"/>
          <w:szCs w:val="22"/>
        </w:rPr>
        <w:t xml:space="preserve">sets out the requirements and conditions for voluntary nutrition, health and related claims made about food (FSFYC only). The Standard prohibits claims to be made </w:t>
      </w:r>
      <w:r>
        <w:rPr>
          <w:sz w:val="22"/>
          <w:szCs w:val="22"/>
        </w:rPr>
        <w:t>about an infant formula product</w:t>
      </w:r>
      <w:r w:rsidRPr="00DA377F">
        <w:rPr>
          <w:sz w:val="22"/>
          <w:szCs w:val="22"/>
        </w:rPr>
        <w:t>.</w:t>
      </w:r>
    </w:p>
    <w:p w14:paraId="08C95316" w14:textId="42DDDBF0" w:rsidR="009856D5" w:rsidRPr="00510B7A" w:rsidRDefault="009856D5" w:rsidP="00510B7A">
      <w:pPr>
        <w:pStyle w:val="CommentText"/>
        <w:widowControl/>
        <w:spacing w:before="120" w:after="120"/>
        <w:rPr>
          <w:sz w:val="22"/>
          <w:szCs w:val="22"/>
        </w:rPr>
      </w:pPr>
      <w:r w:rsidRPr="006C7AF3">
        <w:rPr>
          <w:sz w:val="22"/>
          <w:szCs w:val="22"/>
        </w:rPr>
        <w:lastRenderedPageBreak/>
        <w:t>Standard 1.2.8 generally requires food products to be labelled with nutrition information. This Standard does not apply to infant formula products (specific nutrition labelling requirements are set out in Standard 2.9.1).</w:t>
      </w:r>
    </w:p>
    <w:p w14:paraId="451BDB86" w14:textId="2BA8940C" w:rsidR="009856D5" w:rsidRDefault="009856D5" w:rsidP="00510B7A">
      <w:pPr>
        <w:keepNext/>
        <w:keepLines/>
        <w:widowControl/>
        <w:spacing w:before="120" w:after="120"/>
        <w:rPr>
          <w:szCs w:val="22"/>
        </w:rPr>
      </w:pPr>
      <w:r w:rsidRPr="0084446A">
        <w:rPr>
          <w:szCs w:val="22"/>
        </w:rPr>
        <w:t>Section 1.5.2—4 sets out labelling requirements for foods for sale that consist of</w:t>
      </w:r>
      <w:r>
        <w:rPr>
          <w:szCs w:val="22"/>
        </w:rPr>
        <w:t>,</w:t>
      </w:r>
      <w:r w:rsidRPr="0084446A">
        <w:rPr>
          <w:szCs w:val="22"/>
        </w:rPr>
        <w:t xml:space="preserve"> or have as an ingredient, food that is a </w:t>
      </w:r>
      <w:r w:rsidRPr="0084446A">
        <w:rPr>
          <w:i/>
          <w:szCs w:val="22"/>
        </w:rPr>
        <w:t>genetically modified food</w:t>
      </w:r>
      <w:r w:rsidRPr="0084446A">
        <w:rPr>
          <w:szCs w:val="22"/>
        </w:rPr>
        <w:t xml:space="preserve">. A </w:t>
      </w:r>
      <w:r w:rsidRPr="0084446A">
        <w:rPr>
          <w:i/>
          <w:szCs w:val="22"/>
        </w:rPr>
        <w:t>genetically modified food</w:t>
      </w:r>
      <w:r w:rsidRPr="0084446A">
        <w:rPr>
          <w:szCs w:val="22"/>
        </w:rPr>
        <w:t xml:space="preserve"> is defined in subsection 1.5.2—4(5) as a </w:t>
      </w:r>
      <w:r w:rsidRPr="0084446A">
        <w:rPr>
          <w:i/>
          <w:szCs w:val="22"/>
        </w:rPr>
        <w:t>food produced using gene technology</w:t>
      </w:r>
      <w:r w:rsidRPr="0084446A">
        <w:rPr>
          <w:szCs w:val="22"/>
        </w:rPr>
        <w:t xml:space="preserve"> that contains novel DNA or novel protein or is listed in </w:t>
      </w:r>
      <w:r w:rsidR="00B05F7E">
        <w:rPr>
          <w:szCs w:val="22"/>
        </w:rPr>
        <w:t>Section</w:t>
      </w:r>
      <w:r w:rsidRPr="0084446A">
        <w:rPr>
          <w:szCs w:val="22"/>
        </w:rPr>
        <w:t xml:space="preserve"> S26—3. </w:t>
      </w:r>
    </w:p>
    <w:p w14:paraId="58C1854F" w14:textId="77777777" w:rsidR="009856D5" w:rsidRPr="0084446A" w:rsidRDefault="009856D5" w:rsidP="00510B7A">
      <w:pPr>
        <w:keepNext/>
        <w:keepLines/>
        <w:widowControl/>
        <w:spacing w:before="120" w:after="120"/>
        <w:rPr>
          <w:szCs w:val="22"/>
        </w:rPr>
      </w:pPr>
      <w:r>
        <w:rPr>
          <w:szCs w:val="22"/>
        </w:rPr>
        <w:t>Standard 2.9.1 sets out the specific requirements for declaring nutrition information and includes provisions for prohibited representations on infant formula product labels.</w:t>
      </w:r>
    </w:p>
    <w:p w14:paraId="13241B8B" w14:textId="77777777" w:rsidR="009856D5" w:rsidRPr="00DE5CC1" w:rsidRDefault="009856D5" w:rsidP="00DE5CC1">
      <w:pPr>
        <w:pStyle w:val="Heading4"/>
      </w:pPr>
      <w:r w:rsidRPr="00DE5CC1">
        <w:t>1.3.1.6</w:t>
      </w:r>
      <w:r w:rsidRPr="00DE5CC1">
        <w:tab/>
        <w:t>Current oligosaccharide permissions and restrictions</w:t>
      </w:r>
    </w:p>
    <w:p w14:paraId="43A42C49" w14:textId="5F77AA2B" w:rsidR="009856D5" w:rsidRDefault="009856D5" w:rsidP="00510B7A">
      <w:pPr>
        <w:widowControl/>
        <w:spacing w:before="120" w:after="120"/>
        <w:rPr>
          <w:szCs w:val="22"/>
        </w:rPr>
      </w:pPr>
      <w:r>
        <w:t xml:space="preserve">The ingredient </w:t>
      </w:r>
      <w:r w:rsidR="00700B2F">
        <w:t>assessed</w:t>
      </w:r>
      <w:r>
        <w:t xml:space="preserve"> is a non-digestible oligosaccharide</w:t>
      </w:r>
      <w:r>
        <w:rPr>
          <w:szCs w:val="22"/>
        </w:rPr>
        <w:t xml:space="preserve">. The current permissions and restrictions in the Code relating to </w:t>
      </w:r>
      <w:r>
        <w:t>oligosaccharides</w:t>
      </w:r>
      <w:r w:rsidR="00700B2F">
        <w:t xml:space="preserve"> are summarised in this section</w:t>
      </w:r>
      <w:r>
        <w:t>.</w:t>
      </w:r>
    </w:p>
    <w:p w14:paraId="1F9C0368" w14:textId="540085F2" w:rsidR="009856D5" w:rsidRDefault="009856D5" w:rsidP="00510B7A">
      <w:pPr>
        <w:widowControl/>
        <w:spacing w:before="120" w:after="120"/>
        <w:rPr>
          <w:szCs w:val="22"/>
        </w:rPr>
      </w:pPr>
      <w:r>
        <w:rPr>
          <w:szCs w:val="22"/>
        </w:rPr>
        <w:t>The Code currently regulates the addition of galacto-oligosaccharides</w:t>
      </w:r>
      <w:r w:rsidRPr="00844935">
        <w:rPr>
          <w:szCs w:val="22"/>
        </w:rPr>
        <w:t xml:space="preserve"> (GOS) and inulin-type fructans (ITF)</w:t>
      </w:r>
      <w:r>
        <w:rPr>
          <w:szCs w:val="22"/>
        </w:rPr>
        <w:t xml:space="preserve"> (both are defined in subsection 1.1.2</w:t>
      </w:r>
      <w:r w:rsidRPr="00844935">
        <w:rPr>
          <w:szCs w:val="22"/>
        </w:rPr>
        <w:t>—</w:t>
      </w:r>
      <w:r>
        <w:rPr>
          <w:szCs w:val="22"/>
        </w:rPr>
        <w:t>2) to</w:t>
      </w:r>
      <w:r w:rsidRPr="00844935">
        <w:rPr>
          <w:szCs w:val="22"/>
        </w:rPr>
        <w:t xml:space="preserve"> </w:t>
      </w:r>
      <w:r>
        <w:rPr>
          <w:szCs w:val="22"/>
        </w:rPr>
        <w:t>IFP</w:t>
      </w:r>
      <w:r w:rsidRPr="00844935">
        <w:rPr>
          <w:szCs w:val="22"/>
        </w:rPr>
        <w:t xml:space="preserve"> and FSFYC</w:t>
      </w:r>
      <w:r>
        <w:rPr>
          <w:szCs w:val="22"/>
        </w:rPr>
        <w:t xml:space="preserve"> </w:t>
      </w:r>
      <w:r w:rsidRPr="00844935">
        <w:rPr>
          <w:szCs w:val="22"/>
        </w:rPr>
        <w:t>(</w:t>
      </w:r>
      <w:r>
        <w:rPr>
          <w:szCs w:val="22"/>
        </w:rPr>
        <w:t xml:space="preserve">see </w:t>
      </w:r>
      <w:r w:rsidR="00B05F7E">
        <w:rPr>
          <w:szCs w:val="22"/>
        </w:rPr>
        <w:t>Section</w:t>
      </w:r>
      <w:r>
        <w:rPr>
          <w:szCs w:val="22"/>
        </w:rPr>
        <w:t>s 2.9.1—7 and 2.9.3—7, respectively</w:t>
      </w:r>
      <w:r w:rsidRPr="00844935">
        <w:rPr>
          <w:szCs w:val="22"/>
        </w:rPr>
        <w:t>)</w:t>
      </w:r>
      <w:r>
        <w:rPr>
          <w:szCs w:val="22"/>
        </w:rPr>
        <w:t xml:space="preserve">. GOS and ITF are also permitted in general foods by their </w:t>
      </w:r>
      <w:r w:rsidRPr="005F1303">
        <w:rPr>
          <w:szCs w:val="22"/>
        </w:rPr>
        <w:t xml:space="preserve">specific exclusion </w:t>
      </w:r>
      <w:r>
        <w:rPr>
          <w:szCs w:val="22"/>
        </w:rPr>
        <w:t>from</w:t>
      </w:r>
      <w:r w:rsidRPr="005F1303">
        <w:rPr>
          <w:szCs w:val="22"/>
        </w:rPr>
        <w:t xml:space="preserve"> the definition of </w:t>
      </w:r>
      <w:r w:rsidRPr="00E729C2">
        <w:rPr>
          <w:i/>
          <w:szCs w:val="22"/>
        </w:rPr>
        <w:t>used as a nutritive substance</w:t>
      </w:r>
      <w:r>
        <w:rPr>
          <w:szCs w:val="22"/>
        </w:rPr>
        <w:t xml:space="preserve"> in </w:t>
      </w:r>
      <w:r w:rsidR="00B05F7E">
        <w:rPr>
          <w:szCs w:val="22"/>
        </w:rPr>
        <w:t>Sections</w:t>
      </w:r>
      <w:r w:rsidRPr="005F1303">
        <w:rPr>
          <w:szCs w:val="22"/>
        </w:rPr>
        <w:t xml:space="preserve"> 1.1.2—12 and general provisions in </w:t>
      </w:r>
      <w:r w:rsidR="00B05F7E">
        <w:rPr>
          <w:szCs w:val="22"/>
        </w:rPr>
        <w:t>Section</w:t>
      </w:r>
      <w:r>
        <w:rPr>
          <w:szCs w:val="22"/>
        </w:rPr>
        <w:t xml:space="preserve"> </w:t>
      </w:r>
      <w:r w:rsidRPr="005F1303">
        <w:rPr>
          <w:szCs w:val="22"/>
        </w:rPr>
        <w:t>1.1.1—10.</w:t>
      </w:r>
      <w:r>
        <w:rPr>
          <w:szCs w:val="22"/>
        </w:rPr>
        <w:t xml:space="preserve"> </w:t>
      </w:r>
      <w:r w:rsidRPr="005F1303">
        <w:rPr>
          <w:szCs w:val="22"/>
        </w:rPr>
        <w:t>ITF</w:t>
      </w:r>
      <w:r>
        <w:rPr>
          <w:szCs w:val="22"/>
        </w:rPr>
        <w:t xml:space="preserve"> includes substances such as fructo-oligosaccharides (FOS), short-chain FOS (scFOS), oligofructose and inulin (FSANZ 2013). Unlike 2′-FL, ITF are not present in human milk and GOS is found only in trace amounts (FSANZ 2008).</w:t>
      </w:r>
      <w:r w:rsidRPr="00844935">
        <w:rPr>
          <w:szCs w:val="22"/>
        </w:rPr>
        <w:t xml:space="preserve"> </w:t>
      </w:r>
    </w:p>
    <w:p w14:paraId="6569C451" w14:textId="5873D249" w:rsidR="009856D5" w:rsidRDefault="009856D5" w:rsidP="00510B7A">
      <w:pPr>
        <w:widowControl/>
        <w:spacing w:before="120" w:after="120"/>
      </w:pPr>
      <w:r w:rsidRPr="00BD75C8">
        <w:rPr>
          <w:szCs w:val="22"/>
        </w:rPr>
        <w:t xml:space="preserve">For </w:t>
      </w:r>
      <w:r>
        <w:rPr>
          <w:szCs w:val="22"/>
        </w:rPr>
        <w:t>IFP</w:t>
      </w:r>
      <w:r w:rsidRPr="00BD75C8">
        <w:rPr>
          <w:szCs w:val="22"/>
        </w:rPr>
        <w:t xml:space="preserve">, </w:t>
      </w:r>
      <w:r w:rsidR="00B05F7E">
        <w:rPr>
          <w:szCs w:val="22"/>
        </w:rPr>
        <w:t>Section</w:t>
      </w:r>
      <w:r>
        <w:rPr>
          <w:szCs w:val="22"/>
        </w:rPr>
        <w:t xml:space="preserve"> 2.9.1—7 sets out r</w:t>
      </w:r>
      <w:r w:rsidRPr="003C0C7D">
        <w:rPr>
          <w:szCs w:val="22"/>
        </w:rPr>
        <w:t>estriction</w:t>
      </w:r>
      <w:r>
        <w:rPr>
          <w:szCs w:val="22"/>
        </w:rPr>
        <w:t>s</w:t>
      </w:r>
      <w:r w:rsidRPr="003C0C7D">
        <w:rPr>
          <w:szCs w:val="22"/>
        </w:rPr>
        <w:t xml:space="preserve"> on addition </w:t>
      </w:r>
      <w:r>
        <w:rPr>
          <w:szCs w:val="22"/>
        </w:rPr>
        <w:t xml:space="preserve">of ITF and GOS </w:t>
      </w:r>
      <w:r w:rsidRPr="003C0C7D">
        <w:rPr>
          <w:szCs w:val="22"/>
        </w:rPr>
        <w:t xml:space="preserve">to </w:t>
      </w:r>
      <w:r>
        <w:rPr>
          <w:szCs w:val="22"/>
        </w:rPr>
        <w:t>IFP.</w:t>
      </w:r>
      <w:r w:rsidRPr="001B2E53">
        <w:rPr>
          <w:szCs w:val="22"/>
        </w:rPr>
        <w:t xml:space="preserve"> </w:t>
      </w:r>
      <w:r>
        <w:rPr>
          <w:szCs w:val="22"/>
        </w:rPr>
        <w:t>Subsection 2.9.1—7(1)</w:t>
      </w:r>
      <w:r w:rsidRPr="00BD75C8">
        <w:rPr>
          <w:szCs w:val="22"/>
        </w:rPr>
        <w:t xml:space="preserve"> </w:t>
      </w:r>
      <w:r>
        <w:rPr>
          <w:szCs w:val="22"/>
        </w:rPr>
        <w:t>permits</w:t>
      </w:r>
      <w:r w:rsidRPr="00BD75C8">
        <w:rPr>
          <w:szCs w:val="22"/>
        </w:rPr>
        <w:t xml:space="preserve"> the addition of IT</w:t>
      </w:r>
      <w:r>
        <w:rPr>
          <w:szCs w:val="22"/>
        </w:rPr>
        <w:t xml:space="preserve">F alone (up to </w:t>
      </w:r>
      <w:r w:rsidRPr="00BD75C8">
        <w:rPr>
          <w:szCs w:val="22"/>
        </w:rPr>
        <w:t>110 mg/100 kJ</w:t>
      </w:r>
      <w:r>
        <w:rPr>
          <w:szCs w:val="22"/>
        </w:rPr>
        <w:t>),</w:t>
      </w:r>
      <w:r w:rsidRPr="00BD75C8">
        <w:rPr>
          <w:szCs w:val="22"/>
        </w:rPr>
        <w:t xml:space="preserve"> GOS alone </w:t>
      </w:r>
      <w:r>
        <w:rPr>
          <w:szCs w:val="22"/>
        </w:rPr>
        <w:t>(</w:t>
      </w:r>
      <w:r w:rsidRPr="00BD75C8">
        <w:rPr>
          <w:szCs w:val="22"/>
        </w:rPr>
        <w:t>up to 290 mg/100 kJ</w:t>
      </w:r>
      <w:r>
        <w:rPr>
          <w:szCs w:val="22"/>
        </w:rPr>
        <w:t xml:space="preserve">), </w:t>
      </w:r>
      <w:r w:rsidRPr="00BD75C8">
        <w:rPr>
          <w:szCs w:val="22"/>
        </w:rPr>
        <w:t>or ITF</w:t>
      </w:r>
      <w:r>
        <w:rPr>
          <w:szCs w:val="22"/>
        </w:rPr>
        <w:t xml:space="preserve"> and GOS combined (</w:t>
      </w:r>
      <w:r w:rsidRPr="00BD75C8">
        <w:rPr>
          <w:szCs w:val="22"/>
        </w:rPr>
        <w:t>up to 290 mg/100 kJ</w:t>
      </w:r>
      <w:r>
        <w:rPr>
          <w:szCs w:val="22"/>
        </w:rPr>
        <w:t xml:space="preserve">, with </w:t>
      </w:r>
      <w:r w:rsidRPr="00BD75C8">
        <w:rPr>
          <w:szCs w:val="22"/>
        </w:rPr>
        <w:t>no more than 110 mg/kJ of ITF</w:t>
      </w:r>
      <w:r>
        <w:rPr>
          <w:szCs w:val="22"/>
        </w:rPr>
        <w:t>)</w:t>
      </w:r>
      <w:r w:rsidRPr="00BD75C8">
        <w:rPr>
          <w:szCs w:val="22"/>
        </w:rPr>
        <w:t>.</w:t>
      </w:r>
      <w:r>
        <w:rPr>
          <w:szCs w:val="22"/>
        </w:rPr>
        <w:t xml:space="preserve"> </w:t>
      </w:r>
      <w:r w:rsidRPr="00611EFC">
        <w:rPr>
          <w:szCs w:val="22"/>
        </w:rPr>
        <w:t>These amounts were converted</w:t>
      </w:r>
      <w:r>
        <w:rPr>
          <w:szCs w:val="22"/>
        </w:rPr>
        <w:t xml:space="preserve"> </w:t>
      </w:r>
      <w:r w:rsidRPr="00611EFC">
        <w:rPr>
          <w:szCs w:val="22"/>
        </w:rPr>
        <w:t>to the respective mg/100 kJ units</w:t>
      </w:r>
      <w:r>
        <w:rPr>
          <w:szCs w:val="22"/>
        </w:rPr>
        <w:t xml:space="preserve"> for Code purposes from 8 g/L of </w:t>
      </w:r>
      <w:r w:rsidRPr="00611EFC">
        <w:rPr>
          <w:szCs w:val="22"/>
        </w:rPr>
        <w:t>GOS</w:t>
      </w:r>
      <w:r>
        <w:rPr>
          <w:szCs w:val="22"/>
        </w:rPr>
        <w:t xml:space="preserve"> (alone or combined with ITF) and 3 g/L of</w:t>
      </w:r>
      <w:r w:rsidRPr="00611EFC">
        <w:rPr>
          <w:szCs w:val="22"/>
        </w:rPr>
        <w:t xml:space="preserve"> ITF. </w:t>
      </w:r>
      <w:r>
        <w:rPr>
          <w:szCs w:val="22"/>
        </w:rPr>
        <w:t xml:space="preserve">Subsection 2.9.1—7(2) prohibits the use of ITF and/or GOS in IFP with </w:t>
      </w:r>
      <w:r>
        <w:t>2′-FL either alon</w:t>
      </w:r>
      <w:r w:rsidR="00510B7A">
        <w:t>e; or in combination with LNnT.</w:t>
      </w:r>
    </w:p>
    <w:p w14:paraId="259D480C" w14:textId="77777777" w:rsidR="009856D5" w:rsidRDefault="009856D5" w:rsidP="00510B7A">
      <w:pPr>
        <w:widowControl/>
        <w:spacing w:before="120" w:after="120"/>
        <w:rPr>
          <w:szCs w:val="22"/>
        </w:rPr>
      </w:pPr>
      <w:r w:rsidRPr="00611EFC">
        <w:rPr>
          <w:szCs w:val="22"/>
        </w:rPr>
        <w:t>For FSFYC, the total amount of ITF or GOS must not be more than 1.6 g/serving</w:t>
      </w:r>
      <w:r>
        <w:rPr>
          <w:szCs w:val="22"/>
        </w:rPr>
        <w:t xml:space="preserve"> (</w:t>
      </w:r>
      <w:r w:rsidRPr="00611EFC">
        <w:rPr>
          <w:szCs w:val="22"/>
        </w:rPr>
        <w:t xml:space="preserve">converted from 8 g/L). The permitted maximum amounts take into account both the added and </w:t>
      </w:r>
      <w:r>
        <w:rPr>
          <w:szCs w:val="22"/>
        </w:rPr>
        <w:t>naturally occurring substances.</w:t>
      </w:r>
    </w:p>
    <w:p w14:paraId="4BBB350A" w14:textId="3055EA2B" w:rsidR="00700B2F" w:rsidRDefault="009856D5" w:rsidP="00DE5CC1">
      <w:pPr>
        <w:pStyle w:val="Heading3"/>
      </w:pPr>
      <w:bookmarkStart w:id="39" w:name="_Toc525729984"/>
      <w:bookmarkStart w:id="40" w:name="_Toc527018229"/>
      <w:bookmarkStart w:id="41" w:name="_Toc11247895"/>
      <w:bookmarkStart w:id="42" w:name="_Toc14427189"/>
      <w:bookmarkStart w:id="43" w:name="_Toc22303659"/>
      <w:bookmarkStart w:id="44" w:name="_Toc22650322"/>
      <w:bookmarkStart w:id="45" w:name="_Toc73104820"/>
      <w:bookmarkStart w:id="46" w:name="_Toc77338767"/>
      <w:bookmarkStart w:id="47" w:name="_Toc81995086"/>
      <w:r w:rsidRPr="00DE5CC1">
        <w:t>1.3.2</w:t>
      </w:r>
      <w:r w:rsidRPr="00DE5CC1">
        <w:tab/>
      </w:r>
      <w:r w:rsidR="00700B2F">
        <w:t>International Standards</w:t>
      </w:r>
    </w:p>
    <w:p w14:paraId="35338C55" w14:textId="10FE2828" w:rsidR="00700B2F" w:rsidRPr="00D57B27" w:rsidRDefault="00700B2F" w:rsidP="00700B2F">
      <w:pPr>
        <w:widowControl/>
        <w:rPr>
          <w:rFonts w:cs="Arial"/>
          <w:b/>
          <w:bCs/>
          <w:iCs/>
          <w:color w:val="000000"/>
          <w:szCs w:val="22"/>
          <w:lang w:eastAsia="en-GB" w:bidi="ar-SA"/>
        </w:rPr>
      </w:pPr>
      <w:r w:rsidRPr="00D57B27">
        <w:rPr>
          <w:rFonts w:cs="Arial"/>
          <w:color w:val="000000"/>
          <w:szCs w:val="22"/>
          <w:lang w:eastAsia="en-GB" w:bidi="ar-SA"/>
        </w:rPr>
        <w:t>In developing food regulatory measures, FSANZ must have regard to the promotion of consistency between domestic and international food standards.</w:t>
      </w:r>
    </w:p>
    <w:bookmarkEnd w:id="39"/>
    <w:bookmarkEnd w:id="40"/>
    <w:bookmarkEnd w:id="41"/>
    <w:bookmarkEnd w:id="42"/>
    <w:bookmarkEnd w:id="43"/>
    <w:bookmarkEnd w:id="44"/>
    <w:bookmarkEnd w:id="45"/>
    <w:bookmarkEnd w:id="46"/>
    <w:bookmarkEnd w:id="47"/>
    <w:p w14:paraId="00F12D8E" w14:textId="3074B931" w:rsidR="00510B7A" w:rsidRDefault="009856D5" w:rsidP="00DE5CC1">
      <w:pPr>
        <w:widowControl/>
        <w:spacing w:before="120" w:after="120"/>
      </w:pPr>
      <w:r>
        <w:t>2′-FL produced by microbial fermentation and by chemical synthesis are permitted for use in IFP</w:t>
      </w:r>
      <w:r w:rsidDel="00FD22B7">
        <w:t>, FSFYC</w:t>
      </w:r>
      <w:r w:rsidR="00072704">
        <w:t xml:space="preserve"> (toddler milks)</w:t>
      </w:r>
      <w:r>
        <w:t xml:space="preserve"> and many other foods in at least 37 overseas countries at a range of levels. Table 1 outlines some international permissions for 2′-FL alone</w:t>
      </w:r>
      <w:r>
        <w:rPr>
          <w:rStyle w:val="FootnoteReference"/>
        </w:rPr>
        <w:footnoteReference w:id="11"/>
      </w:r>
      <w:r w:rsidR="00510B7A">
        <w:t>.</w:t>
      </w:r>
    </w:p>
    <w:p w14:paraId="1DFBA364" w14:textId="3A2A399E" w:rsidR="009856D5" w:rsidRDefault="009856D5" w:rsidP="00510B7A">
      <w:pPr>
        <w:pStyle w:val="FSTableHeading"/>
        <w:widowControl/>
        <w:spacing w:before="120" w:after="120"/>
      </w:pPr>
      <w:r>
        <w:t>Table 1: International permissions for use of 2′-FL in Infant formula*</w:t>
      </w:r>
    </w:p>
    <w:tbl>
      <w:tblPr>
        <w:tblStyle w:val="TableGrid"/>
        <w:tblW w:w="5665" w:type="dxa"/>
        <w:jc w:val="center"/>
        <w:tblLook w:val="04A0" w:firstRow="1" w:lastRow="0" w:firstColumn="1" w:lastColumn="0" w:noHBand="0" w:noVBand="1"/>
        <w:tblCaption w:val="Summary of internatoinal permissions for use of 2'FL and LNnT"/>
        <w:tblDescription w:val="The table lists the maximum permitted amounts for 2'FL and LNnT in infant formula and toddler milk in seven countries. "/>
      </w:tblPr>
      <w:tblGrid>
        <w:gridCol w:w="1838"/>
        <w:gridCol w:w="3827"/>
      </w:tblGrid>
      <w:tr w:rsidR="009856D5" w14:paraId="2B0E9EE8" w14:textId="77777777" w:rsidTr="00A7422F">
        <w:trPr>
          <w:trHeight w:val="516"/>
          <w:tblHeader/>
          <w:jc w:val="center"/>
        </w:trPr>
        <w:tc>
          <w:tcPr>
            <w:tcW w:w="1838" w:type="dxa"/>
            <w:shd w:val="clear" w:color="auto" w:fill="DBE5F1" w:themeFill="accent1" w:themeFillTint="33"/>
            <w:vAlign w:val="center"/>
          </w:tcPr>
          <w:p w14:paraId="59B7F484" w14:textId="77777777" w:rsidR="009856D5" w:rsidRPr="002D1847" w:rsidRDefault="009856D5" w:rsidP="00510B7A">
            <w:pPr>
              <w:widowControl/>
              <w:spacing w:before="120" w:after="120"/>
              <w:jc w:val="center"/>
              <w:rPr>
                <w:b/>
              </w:rPr>
            </w:pPr>
            <w:r w:rsidRPr="002D1847">
              <w:rPr>
                <w:b/>
              </w:rPr>
              <w:t>Country</w:t>
            </w:r>
          </w:p>
        </w:tc>
        <w:tc>
          <w:tcPr>
            <w:tcW w:w="3827" w:type="dxa"/>
            <w:shd w:val="clear" w:color="auto" w:fill="DBE5F1" w:themeFill="accent1" w:themeFillTint="33"/>
            <w:vAlign w:val="center"/>
          </w:tcPr>
          <w:p w14:paraId="012C46D8" w14:textId="77777777" w:rsidR="009856D5" w:rsidRPr="002D1847" w:rsidRDefault="009856D5" w:rsidP="00510B7A">
            <w:pPr>
              <w:widowControl/>
              <w:spacing w:before="120" w:after="120"/>
              <w:jc w:val="center"/>
              <w:rPr>
                <w:b/>
              </w:rPr>
            </w:pPr>
          </w:p>
          <w:p w14:paraId="1AA68C9C" w14:textId="77777777" w:rsidR="009856D5" w:rsidRPr="002D1847" w:rsidRDefault="009856D5" w:rsidP="00510B7A">
            <w:pPr>
              <w:widowControl/>
              <w:spacing w:before="120" w:after="120"/>
              <w:jc w:val="center"/>
              <w:rPr>
                <w:b/>
              </w:rPr>
            </w:pPr>
            <w:r>
              <w:rPr>
                <w:b/>
              </w:rPr>
              <w:t>Max use level</w:t>
            </w:r>
          </w:p>
          <w:p w14:paraId="026D02BC" w14:textId="77777777" w:rsidR="009856D5" w:rsidRPr="002D1847" w:rsidRDefault="009856D5" w:rsidP="00510B7A">
            <w:pPr>
              <w:widowControl/>
              <w:spacing w:before="120" w:after="120"/>
              <w:jc w:val="center"/>
              <w:rPr>
                <w:b/>
              </w:rPr>
            </w:pPr>
          </w:p>
        </w:tc>
      </w:tr>
      <w:tr w:rsidR="009856D5" w14:paraId="4128DAC4" w14:textId="77777777" w:rsidTr="00A7422F">
        <w:trPr>
          <w:jc w:val="center"/>
        </w:trPr>
        <w:tc>
          <w:tcPr>
            <w:tcW w:w="1838" w:type="dxa"/>
            <w:vAlign w:val="center"/>
          </w:tcPr>
          <w:p w14:paraId="6AF2F9BE" w14:textId="77777777" w:rsidR="009856D5" w:rsidRDefault="009856D5" w:rsidP="00510B7A">
            <w:pPr>
              <w:widowControl/>
              <w:spacing w:before="120" w:after="120"/>
              <w:jc w:val="center"/>
            </w:pPr>
            <w:r>
              <w:t>United States</w:t>
            </w:r>
          </w:p>
        </w:tc>
        <w:tc>
          <w:tcPr>
            <w:tcW w:w="3827" w:type="dxa"/>
            <w:vAlign w:val="center"/>
          </w:tcPr>
          <w:p w14:paraId="0663E3DA" w14:textId="77777777" w:rsidR="009856D5" w:rsidRDefault="009856D5" w:rsidP="00510B7A">
            <w:pPr>
              <w:widowControl/>
              <w:spacing w:before="120" w:after="120"/>
              <w:jc w:val="center"/>
            </w:pPr>
            <w:r>
              <w:t>2.4 g/L</w:t>
            </w:r>
          </w:p>
        </w:tc>
      </w:tr>
      <w:tr w:rsidR="009856D5" w14:paraId="0FF115C0" w14:textId="77777777" w:rsidTr="00A7422F">
        <w:trPr>
          <w:trHeight w:val="252"/>
          <w:jc w:val="center"/>
        </w:trPr>
        <w:tc>
          <w:tcPr>
            <w:tcW w:w="1838" w:type="dxa"/>
            <w:vAlign w:val="center"/>
          </w:tcPr>
          <w:p w14:paraId="575D705C" w14:textId="77777777" w:rsidR="009856D5" w:rsidRDefault="009856D5" w:rsidP="00510B7A">
            <w:pPr>
              <w:widowControl/>
              <w:spacing w:before="120" w:after="120"/>
              <w:jc w:val="center"/>
            </w:pPr>
            <w:r>
              <w:lastRenderedPageBreak/>
              <w:t>Canada</w:t>
            </w:r>
            <w:r w:rsidRPr="00C563CA">
              <w:rPr>
                <w:vertAlign w:val="superscript"/>
              </w:rPr>
              <w:t>#</w:t>
            </w:r>
          </w:p>
        </w:tc>
        <w:tc>
          <w:tcPr>
            <w:tcW w:w="3827" w:type="dxa"/>
            <w:vAlign w:val="center"/>
          </w:tcPr>
          <w:p w14:paraId="36AC6D7D" w14:textId="77777777" w:rsidR="009856D5" w:rsidRDefault="009856D5" w:rsidP="00510B7A">
            <w:pPr>
              <w:widowControl/>
              <w:spacing w:before="120" w:after="120"/>
              <w:jc w:val="center"/>
            </w:pPr>
            <w:r>
              <w:t>1.2 g/L</w:t>
            </w:r>
          </w:p>
        </w:tc>
      </w:tr>
      <w:tr w:rsidR="009856D5" w14:paraId="7A4AB08B" w14:textId="77777777" w:rsidTr="00A7422F">
        <w:trPr>
          <w:trHeight w:val="252"/>
          <w:jc w:val="center"/>
        </w:trPr>
        <w:tc>
          <w:tcPr>
            <w:tcW w:w="1838" w:type="dxa"/>
            <w:vAlign w:val="center"/>
          </w:tcPr>
          <w:p w14:paraId="2EDC2936" w14:textId="77777777" w:rsidR="009856D5" w:rsidRDefault="009856D5" w:rsidP="00510B7A">
            <w:pPr>
              <w:widowControl/>
              <w:spacing w:before="120" w:after="120"/>
              <w:jc w:val="center"/>
            </w:pPr>
            <w:r>
              <w:t>Singapore</w:t>
            </w:r>
          </w:p>
        </w:tc>
        <w:tc>
          <w:tcPr>
            <w:tcW w:w="3827" w:type="dxa"/>
            <w:vAlign w:val="center"/>
          </w:tcPr>
          <w:p w14:paraId="4F25DAE0" w14:textId="77777777" w:rsidR="009856D5" w:rsidRDefault="009856D5" w:rsidP="00510B7A">
            <w:pPr>
              <w:widowControl/>
              <w:spacing w:before="120" w:after="120"/>
              <w:jc w:val="center"/>
            </w:pPr>
            <w:r>
              <w:t>1.2 g/L</w:t>
            </w:r>
          </w:p>
        </w:tc>
      </w:tr>
      <w:tr w:rsidR="009856D5" w14:paraId="7FB319FC" w14:textId="77777777" w:rsidTr="00A7422F">
        <w:trPr>
          <w:trHeight w:val="252"/>
          <w:jc w:val="center"/>
        </w:trPr>
        <w:tc>
          <w:tcPr>
            <w:tcW w:w="1838" w:type="dxa"/>
            <w:vAlign w:val="center"/>
          </w:tcPr>
          <w:p w14:paraId="1E63B74A" w14:textId="77777777" w:rsidR="009856D5" w:rsidRDefault="009856D5" w:rsidP="00510B7A">
            <w:pPr>
              <w:widowControl/>
              <w:spacing w:before="120" w:after="120"/>
              <w:jc w:val="center"/>
            </w:pPr>
            <w:r>
              <w:t>European Union</w:t>
            </w:r>
          </w:p>
        </w:tc>
        <w:tc>
          <w:tcPr>
            <w:tcW w:w="3827" w:type="dxa"/>
            <w:vAlign w:val="center"/>
          </w:tcPr>
          <w:p w14:paraId="727B4FD9" w14:textId="77777777" w:rsidR="009856D5" w:rsidRDefault="009856D5" w:rsidP="00510B7A">
            <w:pPr>
              <w:widowControl/>
              <w:spacing w:before="120" w:after="120"/>
              <w:jc w:val="center"/>
            </w:pPr>
            <w:r>
              <w:t>1.2 g/L</w:t>
            </w:r>
          </w:p>
        </w:tc>
      </w:tr>
      <w:tr w:rsidR="009856D5" w14:paraId="25E56E1F" w14:textId="77777777" w:rsidTr="00A7422F">
        <w:trPr>
          <w:trHeight w:val="252"/>
          <w:jc w:val="center"/>
        </w:trPr>
        <w:tc>
          <w:tcPr>
            <w:tcW w:w="1838" w:type="dxa"/>
            <w:vAlign w:val="center"/>
          </w:tcPr>
          <w:p w14:paraId="14F8D6F4" w14:textId="77777777" w:rsidR="009856D5" w:rsidRDefault="009856D5" w:rsidP="00510B7A">
            <w:pPr>
              <w:widowControl/>
              <w:spacing w:before="120" w:after="120"/>
              <w:jc w:val="center"/>
            </w:pPr>
            <w:r>
              <w:t>Israel</w:t>
            </w:r>
          </w:p>
        </w:tc>
        <w:tc>
          <w:tcPr>
            <w:tcW w:w="3827" w:type="dxa"/>
            <w:vAlign w:val="center"/>
          </w:tcPr>
          <w:p w14:paraId="295B129A" w14:textId="77777777" w:rsidR="009856D5" w:rsidRDefault="009856D5" w:rsidP="00510B7A">
            <w:pPr>
              <w:widowControl/>
              <w:spacing w:before="120" w:after="120"/>
              <w:jc w:val="center"/>
            </w:pPr>
            <w:r>
              <w:t>2 g/L</w:t>
            </w:r>
          </w:p>
        </w:tc>
      </w:tr>
      <w:tr w:rsidR="009856D5" w14:paraId="5674305E" w14:textId="77777777" w:rsidTr="00A7422F">
        <w:trPr>
          <w:trHeight w:val="252"/>
          <w:jc w:val="center"/>
        </w:trPr>
        <w:tc>
          <w:tcPr>
            <w:tcW w:w="1838" w:type="dxa"/>
            <w:vAlign w:val="center"/>
          </w:tcPr>
          <w:p w14:paraId="6DBE5C5F" w14:textId="77777777" w:rsidR="009856D5" w:rsidRDefault="009856D5" w:rsidP="00510B7A">
            <w:pPr>
              <w:widowControl/>
              <w:spacing w:before="120" w:after="120"/>
              <w:jc w:val="center"/>
            </w:pPr>
            <w:r>
              <w:t>Korea</w:t>
            </w:r>
          </w:p>
        </w:tc>
        <w:tc>
          <w:tcPr>
            <w:tcW w:w="3827" w:type="dxa"/>
            <w:vAlign w:val="center"/>
          </w:tcPr>
          <w:p w14:paraId="3AEAA2CC" w14:textId="77777777" w:rsidR="009856D5" w:rsidRDefault="009856D5" w:rsidP="00510B7A">
            <w:pPr>
              <w:widowControl/>
              <w:spacing w:before="120" w:after="120"/>
              <w:jc w:val="center"/>
            </w:pPr>
            <w:r>
              <w:t>2 g/L</w:t>
            </w:r>
          </w:p>
        </w:tc>
      </w:tr>
      <w:tr w:rsidR="009856D5" w14:paraId="328736F3" w14:textId="77777777" w:rsidTr="00A7422F">
        <w:trPr>
          <w:trHeight w:val="252"/>
          <w:jc w:val="center"/>
        </w:trPr>
        <w:tc>
          <w:tcPr>
            <w:tcW w:w="1838" w:type="dxa"/>
            <w:vAlign w:val="center"/>
          </w:tcPr>
          <w:p w14:paraId="42707232" w14:textId="77777777" w:rsidR="009856D5" w:rsidRDefault="009856D5" w:rsidP="00510B7A">
            <w:pPr>
              <w:widowControl/>
              <w:spacing w:before="120" w:after="120"/>
              <w:jc w:val="center"/>
            </w:pPr>
            <w:r>
              <w:t>Philippines</w:t>
            </w:r>
          </w:p>
        </w:tc>
        <w:tc>
          <w:tcPr>
            <w:tcW w:w="3827" w:type="dxa"/>
            <w:vAlign w:val="center"/>
          </w:tcPr>
          <w:p w14:paraId="6ED9BF27" w14:textId="77777777" w:rsidR="009856D5" w:rsidRDefault="009856D5" w:rsidP="00510B7A">
            <w:pPr>
              <w:widowControl/>
              <w:spacing w:before="120" w:after="120"/>
              <w:jc w:val="center"/>
            </w:pPr>
            <w:r>
              <w:t>1.2 g/L</w:t>
            </w:r>
          </w:p>
        </w:tc>
      </w:tr>
    </w:tbl>
    <w:p w14:paraId="0853E4D1" w14:textId="77777777" w:rsidR="009856D5" w:rsidRPr="00DC3659" w:rsidRDefault="009856D5" w:rsidP="00EA0130">
      <w:pPr>
        <w:widowControl/>
        <w:spacing w:before="120" w:after="120"/>
        <w:ind w:left="1134" w:firstLine="567"/>
        <w:contextualSpacing/>
        <w:rPr>
          <w:sz w:val="18"/>
          <w:szCs w:val="18"/>
        </w:rPr>
      </w:pPr>
      <w:r w:rsidRPr="00DC3659">
        <w:rPr>
          <w:sz w:val="18"/>
          <w:szCs w:val="18"/>
        </w:rPr>
        <w:t>Notes to table:</w:t>
      </w:r>
    </w:p>
    <w:p w14:paraId="157DE5EB" w14:textId="77777777" w:rsidR="009856D5" w:rsidRPr="00DC3659" w:rsidRDefault="009856D5" w:rsidP="00EA0130">
      <w:pPr>
        <w:widowControl/>
        <w:spacing w:before="120" w:after="120"/>
        <w:ind w:left="1134" w:firstLine="567"/>
        <w:contextualSpacing/>
        <w:rPr>
          <w:sz w:val="18"/>
          <w:szCs w:val="18"/>
        </w:rPr>
      </w:pPr>
      <w:r w:rsidRPr="00DC3659">
        <w:rPr>
          <w:sz w:val="18"/>
          <w:szCs w:val="18"/>
        </w:rPr>
        <w:t xml:space="preserve">*Infant formula categories vary between countries </w:t>
      </w:r>
    </w:p>
    <w:p w14:paraId="45ED5D7C" w14:textId="6DEC80E6" w:rsidR="009856D5" w:rsidRPr="00EA0130" w:rsidRDefault="009856D5" w:rsidP="00EA0130">
      <w:pPr>
        <w:widowControl/>
        <w:spacing w:before="120" w:after="120"/>
        <w:ind w:left="1134" w:firstLine="567"/>
        <w:rPr>
          <w:sz w:val="18"/>
          <w:szCs w:val="18"/>
        </w:rPr>
      </w:pPr>
      <w:r w:rsidRPr="00DC3659">
        <w:rPr>
          <w:sz w:val="18"/>
          <w:szCs w:val="18"/>
        </w:rPr>
        <w:t># permission as novel food with su</w:t>
      </w:r>
      <w:r w:rsidR="00EA0130">
        <w:rPr>
          <w:sz w:val="18"/>
          <w:szCs w:val="18"/>
        </w:rPr>
        <w:t>pport for use in infant formula</w:t>
      </w:r>
    </w:p>
    <w:p w14:paraId="3E284479" w14:textId="77777777" w:rsidR="009856D5" w:rsidRDefault="009856D5" w:rsidP="00510B7A">
      <w:pPr>
        <w:widowControl/>
        <w:spacing w:before="120" w:after="120"/>
      </w:pPr>
      <w:r>
        <w:t>Labelling permissions and restrictions differ across countries, some specify the terminology that must be used for the ingredients on labels while others do not. Some countries permit claims on IFP while other countries do not.</w:t>
      </w:r>
    </w:p>
    <w:p w14:paraId="29D7BB69" w14:textId="0C76701D" w:rsidR="009856D5" w:rsidRPr="00DE5CC1" w:rsidRDefault="009856D5" w:rsidP="00DE5CC1">
      <w:pPr>
        <w:pStyle w:val="Heading4"/>
      </w:pPr>
      <w:r w:rsidRPr="00DE5CC1">
        <w:t>1.3.2.1</w:t>
      </w:r>
      <w:r w:rsidRPr="00DE5CC1">
        <w:tab/>
      </w:r>
      <w:r w:rsidR="00700B2F" w:rsidRPr="00D57B27">
        <w:t>Codex Alimentarius (Codex)</w:t>
      </w:r>
    </w:p>
    <w:p w14:paraId="543D82BC" w14:textId="49A4A52F" w:rsidR="009856D5" w:rsidRDefault="009856D5" w:rsidP="00510B7A">
      <w:pPr>
        <w:pStyle w:val="FootnoteText"/>
        <w:widowControl/>
        <w:spacing w:before="120" w:after="120"/>
        <w:rPr>
          <w:sz w:val="22"/>
          <w:szCs w:val="22"/>
          <w:lang w:val="en-AU"/>
        </w:rPr>
      </w:pPr>
      <w:r w:rsidRPr="00680762">
        <w:rPr>
          <w:sz w:val="22"/>
          <w:szCs w:val="22"/>
        </w:rPr>
        <w:t>The current Codex Standards for Infant Formula and Formulas for Special Medical Purposes Intended for Infants (Codex Standard 72-1981)</w:t>
      </w:r>
      <w:r>
        <w:rPr>
          <w:sz w:val="22"/>
          <w:szCs w:val="22"/>
        </w:rPr>
        <w:t>,</w:t>
      </w:r>
      <w:r w:rsidRPr="00680762">
        <w:rPr>
          <w:sz w:val="22"/>
          <w:szCs w:val="22"/>
        </w:rPr>
        <w:t xml:space="preserve"> and </w:t>
      </w:r>
      <w:r>
        <w:rPr>
          <w:sz w:val="22"/>
          <w:szCs w:val="22"/>
        </w:rPr>
        <w:t xml:space="preserve">for </w:t>
      </w:r>
      <w:r w:rsidRPr="00680762">
        <w:rPr>
          <w:sz w:val="22"/>
          <w:szCs w:val="22"/>
          <w:lang w:bidi="ar-SA"/>
        </w:rPr>
        <w:t>Follow-up Formula</w:t>
      </w:r>
      <w:r w:rsidRPr="00680762">
        <w:rPr>
          <w:rStyle w:val="FootnoteReference"/>
          <w:sz w:val="22"/>
          <w:szCs w:val="22"/>
          <w:lang w:bidi="ar-SA"/>
        </w:rPr>
        <w:footnoteReference w:id="12"/>
      </w:r>
      <w:r w:rsidRPr="00680762">
        <w:rPr>
          <w:sz w:val="22"/>
          <w:szCs w:val="22"/>
          <w:lang w:bidi="ar-SA"/>
        </w:rPr>
        <w:t xml:space="preserve"> (Codex Standard 156-1987)</w:t>
      </w:r>
      <w:r>
        <w:rPr>
          <w:sz w:val="22"/>
          <w:szCs w:val="22"/>
          <w:lang w:bidi="ar-SA"/>
        </w:rPr>
        <w:t>,</w:t>
      </w:r>
      <w:r w:rsidRPr="00680762">
        <w:rPr>
          <w:sz w:val="22"/>
          <w:szCs w:val="22"/>
          <w:lang w:bidi="ar-SA"/>
        </w:rPr>
        <w:t xml:space="preserve"> </w:t>
      </w:r>
      <w:r w:rsidRPr="00680762">
        <w:rPr>
          <w:sz w:val="22"/>
          <w:szCs w:val="22"/>
        </w:rPr>
        <w:t>do not contain specific provisions for 2</w:t>
      </w:r>
      <w:r>
        <w:rPr>
          <w:sz w:val="22"/>
          <w:szCs w:val="22"/>
        </w:rPr>
        <w:t>′</w:t>
      </w:r>
      <w:r w:rsidRPr="00680762">
        <w:rPr>
          <w:sz w:val="22"/>
          <w:szCs w:val="22"/>
        </w:rPr>
        <w:t xml:space="preserve">-FL. However, the </w:t>
      </w:r>
      <w:r>
        <w:rPr>
          <w:sz w:val="22"/>
          <w:szCs w:val="22"/>
        </w:rPr>
        <w:t>s</w:t>
      </w:r>
      <w:r w:rsidRPr="00680762">
        <w:rPr>
          <w:sz w:val="22"/>
          <w:szCs w:val="22"/>
        </w:rPr>
        <w:t xml:space="preserve">tandards contain provisions for ‘optional ingredients’ which </w:t>
      </w:r>
      <w:r>
        <w:rPr>
          <w:sz w:val="22"/>
          <w:szCs w:val="22"/>
        </w:rPr>
        <w:t xml:space="preserve">would </w:t>
      </w:r>
      <w:r w:rsidRPr="00680762">
        <w:rPr>
          <w:sz w:val="22"/>
          <w:szCs w:val="22"/>
        </w:rPr>
        <w:t>apply to the addition of substances such as 2</w:t>
      </w:r>
      <w:r>
        <w:rPr>
          <w:sz w:val="22"/>
          <w:szCs w:val="22"/>
        </w:rPr>
        <w:t>′</w:t>
      </w:r>
      <w:r w:rsidRPr="00680762">
        <w:rPr>
          <w:sz w:val="22"/>
          <w:szCs w:val="22"/>
        </w:rPr>
        <w:t xml:space="preserve">-FL. </w:t>
      </w:r>
      <w:r>
        <w:rPr>
          <w:sz w:val="22"/>
          <w:szCs w:val="22"/>
        </w:rPr>
        <w:t>FSANZ note</w:t>
      </w:r>
      <w:r w:rsidR="00272730">
        <w:rPr>
          <w:sz w:val="22"/>
          <w:szCs w:val="22"/>
        </w:rPr>
        <w:t>d</w:t>
      </w:r>
      <w:r>
        <w:rPr>
          <w:sz w:val="22"/>
          <w:szCs w:val="22"/>
        </w:rPr>
        <w:t xml:space="preserve"> that t</w:t>
      </w:r>
      <w:r>
        <w:rPr>
          <w:sz w:val="22"/>
          <w:szCs w:val="22"/>
          <w:lang w:bidi="ar-SA"/>
        </w:rPr>
        <w:t>he Follow-up F</w:t>
      </w:r>
      <w:r w:rsidRPr="00680762">
        <w:rPr>
          <w:sz w:val="22"/>
          <w:szCs w:val="22"/>
          <w:lang w:bidi="ar-SA"/>
        </w:rPr>
        <w:t>ormula</w:t>
      </w:r>
      <w:r w:rsidRPr="00680762">
        <w:rPr>
          <w:sz w:val="22"/>
          <w:szCs w:val="22"/>
          <w:lang w:val="en-AU"/>
        </w:rPr>
        <w:t xml:space="preserve"> Standard is currentl</w:t>
      </w:r>
      <w:r>
        <w:rPr>
          <w:sz w:val="22"/>
          <w:szCs w:val="22"/>
          <w:lang w:val="en-AU"/>
        </w:rPr>
        <w:t>y under review</w:t>
      </w:r>
      <w:r w:rsidRPr="00680762">
        <w:rPr>
          <w:rStyle w:val="FootnoteReference"/>
          <w:sz w:val="22"/>
          <w:szCs w:val="22"/>
          <w:lang w:val="en-AU"/>
        </w:rPr>
        <w:footnoteReference w:id="13"/>
      </w:r>
      <w:r>
        <w:rPr>
          <w:sz w:val="22"/>
          <w:szCs w:val="22"/>
          <w:lang w:val="en-AU"/>
        </w:rPr>
        <w:t>.</w:t>
      </w:r>
    </w:p>
    <w:p w14:paraId="56CD4D19" w14:textId="77777777" w:rsidR="009856D5" w:rsidRPr="00DE5CC1" w:rsidRDefault="009856D5" w:rsidP="00DE5CC1">
      <w:pPr>
        <w:pStyle w:val="Heading4"/>
      </w:pPr>
      <w:r w:rsidRPr="00DE5CC1">
        <w:t>1.3.2.2</w:t>
      </w:r>
      <w:r w:rsidRPr="00DE5CC1">
        <w:tab/>
        <w:t>Countries with permissions for the applicant’s 2’-fucosyllactose</w:t>
      </w:r>
    </w:p>
    <w:p w14:paraId="1D139A04" w14:textId="77777777" w:rsidR="009856D5" w:rsidRDefault="009856D5" w:rsidP="00510B7A">
      <w:pPr>
        <w:pStyle w:val="Heading5"/>
        <w:widowControl/>
        <w:spacing w:before="120" w:after="120"/>
      </w:pPr>
      <w:r>
        <w:t>United States</w:t>
      </w:r>
    </w:p>
    <w:p w14:paraId="14084E71" w14:textId="038173F8" w:rsidR="009856D5" w:rsidRPr="003039D1" w:rsidRDefault="009856D5" w:rsidP="00510B7A">
      <w:pPr>
        <w:widowControl/>
        <w:spacing w:before="120" w:after="120"/>
      </w:pPr>
      <w:r w:rsidRPr="00B35A08">
        <w:t>The United States Food and Drug Administration (USFDA) issued ‘no questions’</w:t>
      </w:r>
      <w:r>
        <w:rPr>
          <w:rStyle w:val="FootnoteReference"/>
        </w:rPr>
        <w:footnoteReference w:id="14"/>
      </w:r>
      <w:r w:rsidRPr="00B35A08">
        <w:t xml:space="preserve"> responses to the applicant’s self-assessed Generally Recognized as Safe (GRAS) notifications for 2</w:t>
      </w:r>
      <w:r>
        <w:t>′</w:t>
      </w:r>
      <w:r w:rsidRPr="00B35A08">
        <w:t>-FL</w:t>
      </w:r>
      <w:r>
        <w:rPr>
          <w:vertAlign w:val="subscript"/>
        </w:rPr>
        <w:t xml:space="preserve"> </w:t>
      </w:r>
      <w:r>
        <w:t xml:space="preserve">synthesised chemically and through microbial fermentation </w:t>
      </w:r>
      <w:r w:rsidRPr="00B35A08">
        <w:t>for use in various general and special purpose foods</w:t>
      </w:r>
      <w:r>
        <w:t xml:space="preserve"> </w:t>
      </w:r>
      <w:r w:rsidRPr="00034D0B">
        <w:t>(</w:t>
      </w:r>
      <w:r>
        <w:t>USFDA 2015, 2016a)</w:t>
      </w:r>
      <w:r w:rsidRPr="00B35A08">
        <w:t>. The maximum intended use level in ‘term infant formula’ and ‘toddler formula</w:t>
      </w:r>
      <w:r>
        <w:t>’ (terms used in the US) is 2</w:t>
      </w:r>
      <w:r w:rsidRPr="00B35A08">
        <w:t xml:space="preserve"> g/L</w:t>
      </w:r>
      <w:r>
        <w:t xml:space="preserve"> of formula, as consumed</w:t>
      </w:r>
      <w:r w:rsidRPr="00B35A08">
        <w:t xml:space="preserve">. </w:t>
      </w:r>
      <w:r>
        <w:t>The USFDA also issued ‘no questions’ responses to applications of other 2′-FL</w:t>
      </w:r>
      <w:r w:rsidRPr="00795B18">
        <w:t xml:space="preserve"> </w:t>
      </w:r>
      <w:r>
        <w:t xml:space="preserve">manufacturers who use different GM production </w:t>
      </w:r>
      <w:r w:rsidR="00F60A13">
        <w:t>sources</w:t>
      </w:r>
      <w:r w:rsidR="00A64146">
        <w:t xml:space="preserve"> </w:t>
      </w:r>
      <w:r>
        <w:t>(</w:t>
      </w:r>
      <w:r>
        <w:rPr>
          <w:rFonts w:cs="Arial"/>
        </w:rPr>
        <w:t>Glycom (USFDA, 2016a),</w:t>
      </w:r>
      <w:r w:rsidRPr="0057313B">
        <w:rPr>
          <w:rFonts w:cs="Arial"/>
        </w:rPr>
        <w:t xml:space="preserve"> FrieslandCampina</w:t>
      </w:r>
      <w:r>
        <w:rPr>
          <w:rFonts w:cs="Arial"/>
        </w:rPr>
        <w:t xml:space="preserve"> (</w:t>
      </w:r>
      <w:r w:rsidRPr="00C06299">
        <w:rPr>
          <w:rFonts w:cs="Arial"/>
        </w:rPr>
        <w:t>USFDA, 2018a</w:t>
      </w:r>
      <w:r>
        <w:rPr>
          <w:rFonts w:cs="Arial"/>
        </w:rPr>
        <w:t>)</w:t>
      </w:r>
      <w:r w:rsidRPr="0057313B">
        <w:rPr>
          <w:rFonts w:cs="Arial"/>
        </w:rPr>
        <w:t xml:space="preserve"> and Dupont</w:t>
      </w:r>
      <w:r>
        <w:rPr>
          <w:rFonts w:cs="Arial"/>
        </w:rPr>
        <w:t xml:space="preserve"> (</w:t>
      </w:r>
      <w:r w:rsidRPr="00C06299">
        <w:rPr>
          <w:rFonts w:cs="Arial"/>
        </w:rPr>
        <w:t>USFDA, 2018b</w:t>
      </w:r>
      <w:r>
        <w:rPr>
          <w:rFonts w:cs="Arial"/>
        </w:rPr>
        <w:t>)</w:t>
      </w:r>
      <w:r>
        <w:t>. There are permissions in the US for 2′-FL to be used alone, or in combination with LNnT.</w:t>
      </w:r>
    </w:p>
    <w:p w14:paraId="1DB6075D" w14:textId="77777777" w:rsidR="009856D5" w:rsidRDefault="009856D5" w:rsidP="00510B7A">
      <w:pPr>
        <w:pStyle w:val="Heading5"/>
        <w:widowControl/>
        <w:spacing w:before="120" w:after="120"/>
      </w:pPr>
      <w:r>
        <w:t>European Union</w:t>
      </w:r>
    </w:p>
    <w:p w14:paraId="6B454B1B" w14:textId="77777777" w:rsidR="009856D5" w:rsidRDefault="009856D5" w:rsidP="00510B7A">
      <w:pPr>
        <w:widowControl/>
        <w:spacing w:before="120" w:after="120"/>
      </w:pPr>
      <w:r>
        <w:t>2′-FL is permitted</w:t>
      </w:r>
      <w:r w:rsidRPr="00E570B3">
        <w:t xml:space="preserve"> </w:t>
      </w:r>
      <w:r>
        <w:t xml:space="preserve">as a novel food in the European Union (EU) for use </w:t>
      </w:r>
      <w:r w:rsidRPr="00C64A22">
        <w:t>in</w:t>
      </w:r>
      <w:r>
        <w:t xml:space="preserve"> a range of general foods (e.g. milk-based products, cereal bars, bread and pasta products) and special purpose foods (</w:t>
      </w:r>
      <w:r w:rsidRPr="00E672EA">
        <w:t>NFU, 2016</w:t>
      </w:r>
      <w:r>
        <w:t xml:space="preserve">). In the EU permissions also exist for 2′-FL to be used alone, or in </w:t>
      </w:r>
      <w:r>
        <w:lastRenderedPageBreak/>
        <w:t>combination with LNnT. The relevant requirements for infant formula products and milk-based drinks for young children</w:t>
      </w:r>
      <w:r w:rsidRPr="00005CE0">
        <w:rPr>
          <w:rStyle w:val="FootnoteReference"/>
        </w:rPr>
        <w:footnoteReference w:id="15"/>
      </w:r>
      <w:r>
        <w:t xml:space="preserve"> are:</w:t>
      </w:r>
    </w:p>
    <w:p w14:paraId="3F34631D" w14:textId="77777777" w:rsidR="00072704" w:rsidRDefault="00072704" w:rsidP="00510B7A">
      <w:pPr>
        <w:pStyle w:val="FSBullet1"/>
        <w:numPr>
          <w:ilvl w:val="0"/>
          <w:numId w:val="6"/>
        </w:numPr>
        <w:spacing w:before="120" w:after="120"/>
        <w:ind w:left="567" w:hanging="567"/>
      </w:pPr>
      <w:r>
        <w:t xml:space="preserve">For infant formula and follow-on formula, a maximum level of 1.2 g/L of 2′-FL alone or in combination with up to 0.6 g/L of LNnT at a ratio of 2:1 in the final ready-to-use product. </w:t>
      </w:r>
    </w:p>
    <w:p w14:paraId="6BC9C8AD" w14:textId="77777777" w:rsidR="00072704" w:rsidRDefault="00072704" w:rsidP="00510B7A">
      <w:pPr>
        <w:pStyle w:val="FSBullet1"/>
        <w:numPr>
          <w:ilvl w:val="0"/>
          <w:numId w:val="6"/>
        </w:numPr>
        <w:spacing w:before="120" w:after="120"/>
        <w:ind w:left="567" w:hanging="567"/>
      </w:pPr>
      <w:r w:rsidRPr="00072704">
        <w:t>For milk-based drinks for young children, a maximum of 1.2 g/L of 2′-FL alone, or 0.6</w:t>
      </w:r>
      <w:r>
        <w:t xml:space="preserve"> </w:t>
      </w:r>
      <w:r w:rsidRPr="00072704">
        <w:t>g/L of LNnT alone, or 1.2 g/L 2′-FL in combination with up to 0.6 g/L LNnT at a ratio of</w:t>
      </w:r>
      <w:r>
        <w:t xml:space="preserve"> </w:t>
      </w:r>
      <w:r w:rsidRPr="00072704">
        <w:t>2:1 in the final ready-to-use product.</w:t>
      </w:r>
    </w:p>
    <w:p w14:paraId="2176575A" w14:textId="3C7B5F45" w:rsidR="009856D5" w:rsidRPr="002909C8" w:rsidRDefault="00072704" w:rsidP="00510B7A">
      <w:pPr>
        <w:pStyle w:val="FSBullet1"/>
        <w:numPr>
          <w:ilvl w:val="0"/>
          <w:numId w:val="6"/>
        </w:numPr>
        <w:spacing w:before="120" w:after="120"/>
        <w:ind w:left="567" w:hanging="567"/>
      </w:pPr>
      <w:r w:rsidRPr="00072704">
        <w:t>For foods for special medical purposes which includes such foods for infants, the</w:t>
      </w:r>
      <w:r>
        <w:t xml:space="preserve"> </w:t>
      </w:r>
      <w:r w:rsidRPr="00072704">
        <w:t>maximum level used must be in accordance with the particular nutritional requirements</w:t>
      </w:r>
      <w:r>
        <w:t xml:space="preserve"> </w:t>
      </w:r>
      <w:r w:rsidRPr="00072704">
        <w:t>of the persons for whom the products are intended.</w:t>
      </w:r>
    </w:p>
    <w:p w14:paraId="68CFCF9F" w14:textId="2C39C5B0" w:rsidR="009856D5" w:rsidRPr="00E6254E" w:rsidRDefault="009856D5" w:rsidP="00510B7A">
      <w:pPr>
        <w:pStyle w:val="FSBullet2"/>
        <w:numPr>
          <w:ilvl w:val="0"/>
          <w:numId w:val="0"/>
        </w:numPr>
        <w:spacing w:before="120" w:after="120"/>
        <w:rPr>
          <w:rFonts w:cs="Arial"/>
        </w:rPr>
      </w:pPr>
      <w:r w:rsidRPr="00E6254E">
        <w:rPr>
          <w:rFonts w:cs="Arial"/>
        </w:rPr>
        <w:t>Specifications are currently prescribed in the EU for 2′-FL</w:t>
      </w:r>
      <w:r>
        <w:rPr>
          <w:rFonts w:cs="Arial"/>
        </w:rPr>
        <w:t xml:space="preserve">, which </w:t>
      </w:r>
      <w:r w:rsidRPr="00E6254E">
        <w:rPr>
          <w:rFonts w:cs="Arial"/>
        </w:rPr>
        <w:t>have recently been modified to be generic based on several equivalence notifications to the EU Commission from manufacturers (</w:t>
      </w:r>
      <w:r>
        <w:rPr>
          <w:rFonts w:cs="Arial"/>
        </w:rPr>
        <w:t>EU 2018; MEB 2017a, 2017</w:t>
      </w:r>
      <w:r w:rsidRPr="002964DF">
        <w:rPr>
          <w:rFonts w:cs="Arial"/>
        </w:rPr>
        <w:t>b</w:t>
      </w:r>
      <w:r>
        <w:rPr>
          <w:rFonts w:cs="Arial"/>
        </w:rPr>
        <w:t>).</w:t>
      </w:r>
    </w:p>
    <w:p w14:paraId="075CF835" w14:textId="77777777" w:rsidR="009856D5" w:rsidRDefault="009856D5" w:rsidP="00510B7A">
      <w:pPr>
        <w:pStyle w:val="FSBullet2"/>
        <w:numPr>
          <w:ilvl w:val="0"/>
          <w:numId w:val="0"/>
        </w:numPr>
        <w:spacing w:before="120" w:after="120"/>
        <w:rPr>
          <w:rFonts w:cs="Arial"/>
        </w:rPr>
      </w:pPr>
      <w:r w:rsidRPr="00E6254E">
        <w:rPr>
          <w:rFonts w:cs="Arial"/>
        </w:rPr>
        <w:t>The novel food permissions in Commission Implementing Regulation (EU) 2018/1023</w:t>
      </w:r>
      <w:r>
        <w:rPr>
          <w:rFonts w:cs="Arial"/>
        </w:rPr>
        <w:t xml:space="preserve"> (EU, 2018)</w:t>
      </w:r>
      <w:r w:rsidRPr="00E6254E">
        <w:rPr>
          <w:rFonts w:cs="Arial"/>
        </w:rPr>
        <w:t xml:space="preserve"> designates that labelling of the foodstuffs containing 2′-FL need</w:t>
      </w:r>
      <w:r>
        <w:rPr>
          <w:rFonts w:cs="Arial"/>
        </w:rPr>
        <w:t>s</w:t>
      </w:r>
      <w:r w:rsidRPr="00E6254E">
        <w:rPr>
          <w:rFonts w:cs="Arial"/>
        </w:rPr>
        <w:t xml:space="preserve"> to use t</w:t>
      </w:r>
      <w:r>
        <w:rPr>
          <w:rFonts w:cs="Arial"/>
        </w:rPr>
        <w:t>he term ‘2′-fucosyllactose’.</w:t>
      </w:r>
    </w:p>
    <w:p w14:paraId="14AABCE2" w14:textId="77777777" w:rsidR="009856D5" w:rsidRDefault="009856D5" w:rsidP="00510B7A">
      <w:pPr>
        <w:pStyle w:val="Heading5"/>
        <w:widowControl/>
        <w:spacing w:before="120" w:after="120"/>
      </w:pPr>
      <w:r>
        <w:t>Canada</w:t>
      </w:r>
    </w:p>
    <w:p w14:paraId="751CE358" w14:textId="03A2D178" w:rsidR="009856D5" w:rsidRPr="00694B01" w:rsidRDefault="009856D5" w:rsidP="00510B7A">
      <w:pPr>
        <w:widowControl/>
        <w:spacing w:before="120" w:after="120"/>
        <w:rPr>
          <w:lang w:bidi="ar-SA"/>
        </w:rPr>
      </w:pPr>
      <w:r>
        <w:rPr>
          <w:lang w:bidi="ar-SA"/>
        </w:rPr>
        <w:t>Health Canada issued a Letter of No Objection to the use of 2</w:t>
      </w:r>
      <w:r>
        <w:rPr>
          <w:rFonts w:cs="Arial"/>
        </w:rPr>
        <w:t>′</w:t>
      </w:r>
      <w:r>
        <w:rPr>
          <w:lang w:bidi="ar-SA"/>
        </w:rPr>
        <w:t>-FL for use in formulas for term infants, and toddler formulas. A maximum concentration of 2 g/L 2</w:t>
      </w:r>
      <w:r>
        <w:rPr>
          <w:rFonts w:cs="Arial"/>
        </w:rPr>
        <w:t>′</w:t>
      </w:r>
      <w:r>
        <w:rPr>
          <w:lang w:bidi="ar-SA"/>
        </w:rPr>
        <w:t>-FL is permitted.</w:t>
      </w:r>
    </w:p>
    <w:p w14:paraId="704A9E7A" w14:textId="77777777" w:rsidR="009856D5" w:rsidRPr="00201E5C" w:rsidRDefault="009856D5" w:rsidP="00510B7A">
      <w:pPr>
        <w:pStyle w:val="Heading5"/>
        <w:widowControl/>
        <w:spacing w:before="120" w:after="120"/>
      </w:pPr>
      <w:r w:rsidRPr="00201E5C">
        <w:t>Singapore</w:t>
      </w:r>
    </w:p>
    <w:p w14:paraId="3BCC2F0D" w14:textId="3A0D8366" w:rsidR="009856D5" w:rsidRDefault="005F1E79" w:rsidP="00510B7A">
      <w:pPr>
        <w:widowControl/>
        <w:spacing w:before="120" w:after="120"/>
      </w:pPr>
      <w:r>
        <w:t>The Application</w:t>
      </w:r>
      <w:r w:rsidR="009856D5">
        <w:t xml:space="preserve"> states that the</w:t>
      </w:r>
      <w:r w:rsidR="009856D5" w:rsidRPr="00CD2BF0">
        <w:t xml:space="preserve"> Agri-Food </w:t>
      </w:r>
      <w:r w:rsidR="009856D5">
        <w:t xml:space="preserve">and </w:t>
      </w:r>
      <w:r w:rsidR="009856D5" w:rsidRPr="00CD2BF0">
        <w:t xml:space="preserve">Veterinary Authority </w:t>
      </w:r>
      <w:r w:rsidR="009856D5">
        <w:t xml:space="preserve">(now known as the Singapore Food Agency) granted permission for the applicant’s </w:t>
      </w:r>
      <w:r w:rsidR="009856D5" w:rsidRPr="00CD2BF0">
        <w:t>2</w:t>
      </w:r>
      <w:r w:rsidR="009856D5">
        <w:t>′-FL</w:t>
      </w:r>
      <w:r w:rsidR="009856D5" w:rsidRPr="00CD2BF0">
        <w:t xml:space="preserve"> </w:t>
      </w:r>
      <w:r w:rsidR="009856D5">
        <w:t xml:space="preserve">(up to 1.2 g/L) </w:t>
      </w:r>
      <w:r w:rsidR="009856D5" w:rsidRPr="006C2EF2">
        <w:t xml:space="preserve">in </w:t>
      </w:r>
      <w:r w:rsidR="009856D5">
        <w:t>infant formula and follow-on formula in 2017</w:t>
      </w:r>
      <w:r w:rsidR="009856D5" w:rsidRPr="006C2EF2">
        <w:t>.</w:t>
      </w:r>
      <w:r w:rsidR="009856D5">
        <w:t xml:space="preserve"> 2</w:t>
      </w:r>
      <w:r w:rsidR="009856D5">
        <w:rPr>
          <w:rFonts w:cs="Arial"/>
        </w:rPr>
        <w:t>′</w:t>
      </w:r>
      <w:r w:rsidR="009856D5">
        <w:t>-FL is permitted at an amount not exceeding 1.20 mg/100 mL (as well as in combination with LNnT) under the Food R</w:t>
      </w:r>
      <w:r w:rsidR="00510B7A">
        <w:t>egulation 252(6)(g) (SFA 2018).</w:t>
      </w:r>
    </w:p>
    <w:p w14:paraId="2335D1C7" w14:textId="77777777" w:rsidR="009856D5" w:rsidRDefault="009856D5" w:rsidP="00510B7A">
      <w:pPr>
        <w:widowControl/>
        <w:spacing w:before="120" w:after="120"/>
      </w:pPr>
      <w:r>
        <w:t>The regulations also include a prohibition</w:t>
      </w:r>
      <w:r w:rsidRPr="00E54D36">
        <w:t xml:space="preserve"> on </w:t>
      </w:r>
      <w:r>
        <w:t xml:space="preserve">the use of the terms </w:t>
      </w:r>
      <w:r>
        <w:rPr>
          <w:rFonts w:cs="Arial"/>
        </w:rPr>
        <w:t xml:space="preserve">‘humanised’, ‘maternalised’, </w:t>
      </w:r>
      <w:r w:rsidRPr="00E6254E">
        <w:rPr>
          <w:rFonts w:cs="Arial"/>
        </w:rPr>
        <w:t>or similar term</w:t>
      </w:r>
      <w:r>
        <w:rPr>
          <w:rFonts w:cs="Arial"/>
        </w:rPr>
        <w:t xml:space="preserve">s. There is also a prohibition on </w:t>
      </w:r>
      <w:r>
        <w:t xml:space="preserve">comparisons of formula to breastmilk. Guidance </w:t>
      </w:r>
      <w:r w:rsidRPr="00E54D36">
        <w:t>document</w:t>
      </w:r>
      <w:r>
        <w:t xml:space="preserve">s for industry </w:t>
      </w:r>
      <w:r w:rsidRPr="00E54D36">
        <w:t xml:space="preserve">on </w:t>
      </w:r>
      <w:r>
        <w:t>labelling provide the following specific examples: “</w:t>
      </w:r>
      <w:r w:rsidRPr="00E54D36">
        <w:t xml:space="preserve">{name of ingredient} sourced/obtained from </w:t>
      </w:r>
      <w:r>
        <w:t>breastmilk</w:t>
      </w:r>
      <w:r w:rsidRPr="00E54D36">
        <w:t xml:space="preserve">”, or “{name of ingredient} similar to </w:t>
      </w:r>
      <w:r>
        <w:t>breastmilk</w:t>
      </w:r>
      <w:r w:rsidRPr="00E54D36">
        <w:t>”</w:t>
      </w:r>
      <w:r>
        <w:t>.</w:t>
      </w:r>
    </w:p>
    <w:p w14:paraId="62BD80C7" w14:textId="77777777" w:rsidR="009856D5" w:rsidRDefault="009856D5" w:rsidP="00510B7A">
      <w:pPr>
        <w:pStyle w:val="Heading5"/>
        <w:widowControl/>
        <w:spacing w:before="120" w:after="120"/>
        <w:ind w:left="0" w:firstLine="0"/>
      </w:pPr>
      <w:r w:rsidRPr="00E17613">
        <w:t>The Philippines</w:t>
      </w:r>
    </w:p>
    <w:p w14:paraId="41B9741B" w14:textId="6B594849" w:rsidR="009856D5" w:rsidRPr="00E17613" w:rsidRDefault="005F1E79" w:rsidP="00510B7A">
      <w:pPr>
        <w:widowControl/>
        <w:spacing w:before="120" w:after="120"/>
        <w:rPr>
          <w:lang w:bidi="ar-SA"/>
        </w:rPr>
      </w:pPr>
      <w:r>
        <w:rPr>
          <w:lang w:bidi="ar-SA"/>
        </w:rPr>
        <w:t>The Application</w:t>
      </w:r>
      <w:r w:rsidR="009856D5">
        <w:rPr>
          <w:lang w:bidi="ar-SA"/>
        </w:rPr>
        <w:t xml:space="preserve"> states </w:t>
      </w:r>
      <w:r w:rsidR="00072704">
        <w:rPr>
          <w:lang w:bidi="ar-SA"/>
        </w:rPr>
        <w:t>2′-FL</w:t>
      </w:r>
      <w:r w:rsidR="009856D5">
        <w:rPr>
          <w:lang w:bidi="ar-SA"/>
        </w:rPr>
        <w:t xml:space="preserve"> was permitted by the Food</w:t>
      </w:r>
      <w:r w:rsidR="00EA0130">
        <w:rPr>
          <w:lang w:bidi="ar-SA"/>
        </w:rPr>
        <w:t xml:space="preserve"> and Drug Administration of the </w:t>
      </w:r>
      <w:r w:rsidR="009856D5">
        <w:rPr>
          <w:lang w:bidi="ar-SA"/>
        </w:rPr>
        <w:t>Philippines in May 2017 for use up to 1.2 g/L in infant formula and ‘toddler milks’.</w:t>
      </w:r>
    </w:p>
    <w:p w14:paraId="02A7F75F" w14:textId="77777777" w:rsidR="009856D5" w:rsidRPr="00201E5C" w:rsidRDefault="009856D5" w:rsidP="00510B7A">
      <w:pPr>
        <w:pStyle w:val="Heading5"/>
        <w:widowControl/>
        <w:spacing w:before="120" w:after="120"/>
        <w:ind w:left="0" w:firstLine="0"/>
      </w:pPr>
      <w:r>
        <w:t>Is</w:t>
      </w:r>
      <w:r w:rsidRPr="00201E5C">
        <w:t xml:space="preserve">rael </w:t>
      </w:r>
    </w:p>
    <w:p w14:paraId="00C99689" w14:textId="77777777" w:rsidR="009856D5" w:rsidRPr="00E54D36" w:rsidRDefault="009856D5" w:rsidP="00510B7A">
      <w:pPr>
        <w:widowControl/>
        <w:spacing w:before="120" w:after="120"/>
      </w:pPr>
      <w:bookmarkStart w:id="48" w:name="_Toc11247896"/>
      <w:r>
        <w:t xml:space="preserve">The applicant’s </w:t>
      </w:r>
      <w:r w:rsidRPr="00CD2BF0">
        <w:t>2</w:t>
      </w:r>
      <w:r>
        <w:t>′</w:t>
      </w:r>
      <w:r w:rsidRPr="00CD2BF0">
        <w:t xml:space="preserve">-FL </w:t>
      </w:r>
      <w:r>
        <w:t xml:space="preserve">is permitted for use in milk-based infant food compounds (infant formula) at a maximum concentration of 2 g/L in the final ready-to-use product. 2′-FL is permitted in baby food and hypoallergenic infant and toddler follow-up compounds at a maximum concentration of 1.2 g/L in the final ready-to-use product. 2′-FL is also permitted in combination with </w:t>
      </w:r>
      <w:bookmarkEnd w:id="48"/>
      <w:r>
        <w:t xml:space="preserve">LNnT at reduced levels. </w:t>
      </w:r>
    </w:p>
    <w:p w14:paraId="50A0C0E4" w14:textId="77777777" w:rsidR="009856D5" w:rsidRPr="00DE5CC1" w:rsidRDefault="009856D5" w:rsidP="00DE5CC1">
      <w:pPr>
        <w:pStyle w:val="Heading4"/>
      </w:pPr>
      <w:r w:rsidRPr="00DE5CC1">
        <w:lastRenderedPageBreak/>
        <w:t>1.3.2.7</w:t>
      </w:r>
      <w:r w:rsidRPr="00DE5CC1">
        <w:tab/>
        <w:t>Other countries</w:t>
      </w:r>
    </w:p>
    <w:p w14:paraId="4214C15D" w14:textId="54B9FB64" w:rsidR="009856D5" w:rsidRDefault="009856D5" w:rsidP="00510B7A">
      <w:pPr>
        <w:widowControl/>
        <w:spacing w:before="120" w:after="120"/>
      </w:pPr>
      <w:r>
        <w:t xml:space="preserve">The </w:t>
      </w:r>
      <w:r w:rsidR="00E30F07">
        <w:t>applicant also</w:t>
      </w:r>
      <w:r>
        <w:t xml:space="preserve"> indicate</w:t>
      </w:r>
      <w:r w:rsidR="00E30F07">
        <w:t>d</w:t>
      </w:r>
      <w:r>
        <w:t xml:space="preserve"> they market </w:t>
      </w:r>
      <w:r w:rsidRPr="000B5C10">
        <w:t xml:space="preserve">2′-FL </w:t>
      </w:r>
      <w:r>
        <w:t xml:space="preserve">in IFP and FSFYC equivalent products in several </w:t>
      </w:r>
      <w:r w:rsidR="00E30F07">
        <w:t xml:space="preserve">other </w:t>
      </w:r>
      <w:r>
        <w:t>countries at a range of 1.0 – 2.0 g/L</w:t>
      </w:r>
      <w:r>
        <w:rPr>
          <w:rStyle w:val="FootnoteReference"/>
        </w:rPr>
        <w:footnoteReference w:id="16"/>
      </w:r>
      <w:r>
        <w:t>.</w:t>
      </w:r>
    </w:p>
    <w:p w14:paraId="24726E22" w14:textId="77777777" w:rsidR="00955B6C" w:rsidRPr="00DE5CC1" w:rsidRDefault="00955B6C" w:rsidP="00DE5CC1">
      <w:pPr>
        <w:pStyle w:val="Heading2"/>
      </w:pPr>
      <w:bookmarkStart w:id="49" w:name="_Toc73104821"/>
      <w:bookmarkStart w:id="50" w:name="_Toc77338768"/>
      <w:bookmarkStart w:id="51" w:name="_Toc81995087"/>
      <w:bookmarkEnd w:id="35"/>
      <w:bookmarkEnd w:id="36"/>
      <w:bookmarkEnd w:id="37"/>
      <w:bookmarkEnd w:id="38"/>
      <w:r w:rsidRPr="00DE5CC1">
        <w:t>1.4</w:t>
      </w:r>
      <w:r w:rsidRPr="00DE5CC1">
        <w:tab/>
        <w:t>Reasons for accepting Application</w:t>
      </w:r>
      <w:bookmarkEnd w:id="49"/>
      <w:bookmarkEnd w:id="50"/>
      <w:bookmarkEnd w:id="51"/>
    </w:p>
    <w:p w14:paraId="44C19AEA" w14:textId="699CFB78" w:rsidR="00955B6C" w:rsidRPr="00C74D25" w:rsidRDefault="005F1E79" w:rsidP="00510B7A">
      <w:pPr>
        <w:widowControl/>
        <w:spacing w:before="120" w:after="120"/>
      </w:pPr>
      <w:r>
        <w:t>The Application</w:t>
      </w:r>
      <w:r w:rsidR="00955B6C" w:rsidRPr="00C74D25">
        <w:t xml:space="preserve"> was a</w:t>
      </w:r>
      <w:r w:rsidR="00510B7A">
        <w:t>ccepted for assessment because:</w:t>
      </w:r>
    </w:p>
    <w:p w14:paraId="5260D654" w14:textId="180A657A" w:rsidR="00955B6C" w:rsidRPr="00C74D25" w:rsidRDefault="00BF001D" w:rsidP="00510B7A">
      <w:pPr>
        <w:pStyle w:val="ListParagraph"/>
        <w:widowControl/>
        <w:numPr>
          <w:ilvl w:val="0"/>
          <w:numId w:val="7"/>
        </w:numPr>
        <w:spacing w:before="120" w:after="120"/>
        <w:contextualSpacing w:val="0"/>
      </w:pPr>
      <w:r>
        <w:t>i</w:t>
      </w:r>
      <w:r w:rsidR="00955B6C" w:rsidRPr="00C74D25">
        <w:t>t complied with the procedural requirements under subsection 22(2)</w:t>
      </w:r>
      <w:r w:rsidRPr="00BF001D">
        <w:t xml:space="preserve"> </w:t>
      </w:r>
      <w:r w:rsidRPr="00D46750">
        <w:t xml:space="preserve">of the </w:t>
      </w:r>
      <w:r w:rsidRPr="00EF1D7F">
        <w:rPr>
          <w:i/>
        </w:rPr>
        <w:t>Food Standards Australia New Zealand Act 1991</w:t>
      </w:r>
      <w:r w:rsidRPr="00845164">
        <w:t xml:space="preserve"> (the </w:t>
      </w:r>
      <w:r w:rsidRPr="00D46750">
        <w:t>FSANZ Act</w:t>
      </w:r>
      <w:r>
        <w:t>)</w:t>
      </w:r>
    </w:p>
    <w:p w14:paraId="680B2DC1" w14:textId="3E20D696" w:rsidR="00955B6C" w:rsidRPr="00380106" w:rsidRDefault="00BF001D" w:rsidP="00510B7A">
      <w:pPr>
        <w:pStyle w:val="ListParagraph"/>
        <w:widowControl/>
        <w:numPr>
          <w:ilvl w:val="0"/>
          <w:numId w:val="7"/>
        </w:numPr>
        <w:spacing w:before="120" w:after="120"/>
        <w:contextualSpacing w:val="0"/>
      </w:pPr>
      <w:r>
        <w:t>i</w:t>
      </w:r>
      <w:r w:rsidR="00955B6C" w:rsidRPr="00C74D25">
        <w:t>t related to a matter that warranted the variation of a food regulatory measure</w:t>
      </w:r>
      <w:r w:rsidR="00955B6C">
        <w:t>.</w:t>
      </w:r>
    </w:p>
    <w:p w14:paraId="0FE72BC5" w14:textId="77777777" w:rsidR="00955B6C" w:rsidRPr="00DE5CC1" w:rsidRDefault="00955B6C" w:rsidP="00DE5CC1">
      <w:pPr>
        <w:pStyle w:val="Heading2"/>
      </w:pPr>
      <w:bookmarkStart w:id="52" w:name="_Toc73104822"/>
      <w:bookmarkStart w:id="53" w:name="_Toc77338769"/>
      <w:bookmarkStart w:id="54" w:name="_Toc81995088"/>
      <w:r w:rsidRPr="00DE5CC1">
        <w:t>1.5</w:t>
      </w:r>
      <w:r w:rsidRPr="00DE5CC1">
        <w:tab/>
        <w:t>Procedure for assessment</w:t>
      </w:r>
      <w:bookmarkEnd w:id="52"/>
      <w:bookmarkEnd w:id="53"/>
      <w:bookmarkEnd w:id="54"/>
    </w:p>
    <w:p w14:paraId="3286D233" w14:textId="2341DCAD" w:rsidR="00955B6C" w:rsidRDefault="005F1E79" w:rsidP="00510B7A">
      <w:pPr>
        <w:widowControl/>
        <w:spacing w:before="120" w:after="120"/>
      </w:pPr>
      <w:r>
        <w:t>The Application</w:t>
      </w:r>
      <w:r w:rsidR="00955B6C" w:rsidRPr="00855CA8">
        <w:t xml:space="preserve"> </w:t>
      </w:r>
      <w:r w:rsidR="00BF001D">
        <w:t>was</w:t>
      </w:r>
      <w:r w:rsidR="00955B6C" w:rsidRPr="00855CA8">
        <w:t xml:space="preserve"> assessed under the General Procedure</w:t>
      </w:r>
      <w:r w:rsidR="00955B6C" w:rsidRPr="00932F14">
        <w:t>.</w:t>
      </w:r>
    </w:p>
    <w:p w14:paraId="7762FA90" w14:textId="77777777" w:rsidR="00422EC9" w:rsidRPr="00DE5CC1" w:rsidRDefault="007A53BF" w:rsidP="00DE5CC1">
      <w:pPr>
        <w:pStyle w:val="Heading2"/>
      </w:pPr>
      <w:bookmarkStart w:id="55" w:name="_Toc81995089"/>
      <w:r w:rsidRPr="00DE5CC1">
        <w:t>1</w:t>
      </w:r>
      <w:r w:rsidR="00422EC9" w:rsidRPr="00DE5CC1">
        <w:t>.6</w:t>
      </w:r>
      <w:r w:rsidR="00422EC9" w:rsidRPr="00DE5CC1">
        <w:tab/>
        <w:t>Decision</w:t>
      </w:r>
      <w:bookmarkEnd w:id="55"/>
    </w:p>
    <w:p w14:paraId="7495F0B3" w14:textId="2CC8D2C1" w:rsidR="00955B6C" w:rsidRDefault="00955B6C" w:rsidP="00510B7A">
      <w:pPr>
        <w:spacing w:before="120" w:after="120"/>
      </w:pPr>
      <w:r>
        <w:t xml:space="preserve">The draft </w:t>
      </w:r>
      <w:r w:rsidRPr="0003146A">
        <w:t xml:space="preserve">variation </w:t>
      </w:r>
      <w:r>
        <w:t xml:space="preserve">as proposed following assessment with </w:t>
      </w:r>
      <w:r w:rsidR="006720A8">
        <w:t xml:space="preserve">three </w:t>
      </w:r>
      <w:r w:rsidR="00D0164A" w:rsidRPr="00D0164A">
        <w:t xml:space="preserve">editorial </w:t>
      </w:r>
      <w:r w:rsidR="00430F36">
        <w:t>amendments</w:t>
      </w:r>
      <w:r w:rsidR="00D0164A" w:rsidRPr="00D0164A">
        <w:t xml:space="preserve"> made to correct </w:t>
      </w:r>
      <w:r w:rsidR="00430F36">
        <w:t xml:space="preserve">purely </w:t>
      </w:r>
      <w:r w:rsidR="00D0164A" w:rsidRPr="00D0164A">
        <w:t>typographical errors</w:t>
      </w:r>
      <w:r w:rsidR="00E84165">
        <w:t xml:space="preserve"> (capitalisation of </w:t>
      </w:r>
      <w:r w:rsidR="00DA57E0">
        <w:t xml:space="preserve">the names of </w:t>
      </w:r>
      <w:r w:rsidR="00E84165">
        <w:t xml:space="preserve">three </w:t>
      </w:r>
      <w:r w:rsidR="00DA57E0">
        <w:t>bacteria</w:t>
      </w:r>
      <w:r w:rsidR="00E84165">
        <w:t>)</w:t>
      </w:r>
      <w:r w:rsidR="00214AF0">
        <w:t xml:space="preserve"> was approved</w:t>
      </w:r>
      <w:r>
        <w:t xml:space="preserve">. </w:t>
      </w:r>
      <w:r w:rsidRPr="003A7725">
        <w:t xml:space="preserve">The </w:t>
      </w:r>
      <w:r w:rsidRPr="0003146A">
        <w:t>variation</w:t>
      </w:r>
      <w:r>
        <w:t xml:space="preserve"> </w:t>
      </w:r>
      <w:r w:rsidRPr="00D26814">
        <w:t>takes effect on</w:t>
      </w:r>
      <w:r>
        <w:t xml:space="preserve"> </w:t>
      </w:r>
      <w:r w:rsidR="00BF001D">
        <w:t>G</w:t>
      </w:r>
      <w:r>
        <w:t xml:space="preserve">azettal. The approved draft </w:t>
      </w:r>
      <w:r w:rsidRPr="0003146A">
        <w:t>variation</w:t>
      </w:r>
      <w:r>
        <w:t xml:space="preserve"> is at </w:t>
      </w:r>
      <w:r w:rsidRPr="007C22CB">
        <w:t xml:space="preserve">Attachment A. </w:t>
      </w:r>
    </w:p>
    <w:p w14:paraId="3C11E358" w14:textId="05C3A2D2" w:rsidR="002C1A3B" w:rsidRPr="00510B7A" w:rsidRDefault="00510B7A" w:rsidP="00510B7A">
      <w:pPr>
        <w:spacing w:before="120" w:after="120"/>
      </w:pPr>
      <w:r>
        <w:t>Th</w:t>
      </w:r>
      <w:r w:rsidR="00955B6C">
        <w:t xml:space="preserve">e related explanatory statement is at Attachment B. An </w:t>
      </w:r>
      <w:r w:rsidR="00955B6C" w:rsidRPr="00D26814">
        <w:t xml:space="preserve">explanatory statement is required to accompany </w:t>
      </w:r>
      <w:r w:rsidR="00955B6C">
        <w:t>an</w:t>
      </w:r>
      <w:r w:rsidR="00955B6C" w:rsidRPr="00D26814">
        <w:t xml:space="preserve"> instrument </w:t>
      </w:r>
      <w:r w:rsidR="00955B6C">
        <w:t>if it is</w:t>
      </w:r>
      <w:r w:rsidR="00955B6C" w:rsidRPr="00D26814">
        <w:t xml:space="preserve"> lodged on the Federal Register of Legislati</w:t>
      </w:r>
      <w:r w:rsidR="00955B6C">
        <w:t xml:space="preserve">on. </w:t>
      </w:r>
    </w:p>
    <w:p w14:paraId="4D587D9D" w14:textId="7262798F" w:rsidR="00BF001D" w:rsidRDefault="00422EC9" w:rsidP="00510B7A">
      <w:pPr>
        <w:spacing w:before="120" w:after="120"/>
      </w:pPr>
      <w:r w:rsidRPr="00955B6C">
        <w:t xml:space="preserve">The draft </w:t>
      </w:r>
      <w:r w:rsidR="00E30092" w:rsidRPr="00955B6C">
        <w:t xml:space="preserve">variation </w:t>
      </w:r>
      <w:r w:rsidRPr="00955B6C">
        <w:t>on which submissions were sought is at Attachment C.</w:t>
      </w:r>
      <w:r w:rsidR="002C1A3B" w:rsidRPr="00955B6C">
        <w:t xml:space="preserve"> </w:t>
      </w:r>
    </w:p>
    <w:p w14:paraId="2F7AD7FE" w14:textId="77777777" w:rsidR="00BF001D" w:rsidRDefault="00BF001D" w:rsidP="00510B7A">
      <w:pPr>
        <w:spacing w:before="120" w:after="120"/>
      </w:pPr>
    </w:p>
    <w:p w14:paraId="718FF67F" w14:textId="77777777" w:rsidR="000B74E8" w:rsidRDefault="000B74E8">
      <w:pPr>
        <w:widowControl/>
        <w:sectPr w:rsidR="000B74E8" w:rsidSect="00BB7D89">
          <w:pgSz w:w="11906" w:h="16838" w:code="9"/>
          <w:pgMar w:top="1418" w:right="1418" w:bottom="1418" w:left="1418" w:header="709" w:footer="709" w:gutter="0"/>
          <w:cols w:space="708"/>
          <w:docGrid w:linePitch="360"/>
        </w:sectPr>
      </w:pPr>
      <w:r>
        <w:br w:type="page"/>
      </w:r>
    </w:p>
    <w:p w14:paraId="0B6B8474" w14:textId="77777777" w:rsidR="0012388D" w:rsidRPr="00DE5CC1" w:rsidRDefault="007A53BF" w:rsidP="00DE5CC1">
      <w:pPr>
        <w:pStyle w:val="Heading1"/>
      </w:pPr>
      <w:bookmarkStart w:id="56" w:name="_Toc81995090"/>
      <w:bookmarkStart w:id="57" w:name="_Toc11735630"/>
      <w:bookmarkStart w:id="58" w:name="_Toc29883114"/>
      <w:bookmarkStart w:id="59" w:name="_Toc41906801"/>
      <w:bookmarkStart w:id="60" w:name="_Toc41907548"/>
      <w:bookmarkStart w:id="61" w:name="_Toc120358578"/>
      <w:bookmarkStart w:id="62" w:name="_Toc175381435"/>
      <w:bookmarkEnd w:id="5"/>
      <w:bookmarkEnd w:id="6"/>
      <w:bookmarkEnd w:id="7"/>
      <w:bookmarkEnd w:id="8"/>
      <w:bookmarkEnd w:id="9"/>
      <w:r w:rsidRPr="00DE5CC1">
        <w:lastRenderedPageBreak/>
        <w:t>2</w:t>
      </w:r>
      <w:r w:rsidR="00AC428E" w:rsidRPr="00DE5CC1">
        <w:tab/>
      </w:r>
      <w:r w:rsidR="00AF387F" w:rsidRPr="00DE5CC1">
        <w:t>Summary of the findings</w:t>
      </w:r>
      <w:bookmarkEnd w:id="56"/>
    </w:p>
    <w:p w14:paraId="36C513E2" w14:textId="77777777" w:rsidR="007A53BF" w:rsidRPr="00DE5CC1" w:rsidRDefault="007A53BF" w:rsidP="00DE5CC1">
      <w:pPr>
        <w:pStyle w:val="Heading2"/>
      </w:pPr>
      <w:bookmarkStart w:id="63" w:name="_Toc300933438"/>
      <w:bookmarkStart w:id="64" w:name="_Toc370223471"/>
      <w:bookmarkStart w:id="65" w:name="_Toc370225386"/>
      <w:bookmarkStart w:id="66" w:name="_Toc81995091"/>
      <w:bookmarkStart w:id="67" w:name="_Toc286391009"/>
      <w:bookmarkStart w:id="68" w:name="_Toc300933425"/>
      <w:bookmarkStart w:id="69" w:name="_Toc309291838"/>
      <w:bookmarkStart w:id="70" w:name="_Toc309385455"/>
      <w:bookmarkStart w:id="71" w:name="_Toc120358583"/>
      <w:bookmarkStart w:id="72" w:name="_Toc175381440"/>
      <w:r w:rsidRPr="00DE5CC1">
        <w:t>2.1</w:t>
      </w:r>
      <w:r w:rsidRPr="00DE5CC1">
        <w:tab/>
        <w:t xml:space="preserve">Summary of issues raised </w:t>
      </w:r>
      <w:bookmarkEnd w:id="63"/>
      <w:r w:rsidRPr="00DE5CC1">
        <w:t>in submissions</w:t>
      </w:r>
      <w:bookmarkEnd w:id="64"/>
      <w:bookmarkEnd w:id="65"/>
      <w:bookmarkEnd w:id="66"/>
    </w:p>
    <w:p w14:paraId="26730D9F" w14:textId="0AE198A9" w:rsidR="000B680D" w:rsidRDefault="00BF001D" w:rsidP="000B680D">
      <w:pPr>
        <w:rPr>
          <w:rFonts w:eastAsia="ArialMT" w:cs="Arial"/>
        </w:rPr>
      </w:pPr>
      <w:r>
        <w:t xml:space="preserve">FSANZ called for submissions on a draft variation to the Code from 22 July 2021 to 19 August 2021. Ten submissions were received, three from government agencies and seven from industry stakeholders. </w:t>
      </w:r>
      <w:r w:rsidR="000B74E8" w:rsidRPr="00EA0130">
        <w:rPr>
          <w:rFonts w:cs="Arial"/>
        </w:rPr>
        <w:t>All submissions support a permission for the applicant’s 2′-FL product (</w:t>
      </w:r>
      <w:r w:rsidR="00A64146">
        <w:rPr>
          <w:rFonts w:cs="Arial"/>
        </w:rPr>
        <w:t xml:space="preserve">sourced </w:t>
      </w:r>
      <w:r w:rsidR="000B74E8" w:rsidRPr="00EA0130">
        <w:rPr>
          <w:rFonts w:cs="Arial"/>
        </w:rPr>
        <w:t xml:space="preserve">from </w:t>
      </w:r>
      <w:r w:rsidR="000B74E8" w:rsidRPr="00EA0130">
        <w:rPr>
          <w:rFonts w:cs="Arial"/>
          <w:i/>
        </w:rPr>
        <w:t>E. coli</w:t>
      </w:r>
      <w:r w:rsidR="000B74E8" w:rsidRPr="00EA0130">
        <w:rPr>
          <w:rFonts w:cs="Arial"/>
        </w:rPr>
        <w:t xml:space="preserve"> BL21</w:t>
      </w:r>
      <w:r w:rsidR="00A64146">
        <w:rPr>
          <w:rFonts w:cs="Arial"/>
        </w:rPr>
        <w:t xml:space="preserve"> strains</w:t>
      </w:r>
      <w:r w:rsidR="000B74E8" w:rsidRPr="00EA0130">
        <w:rPr>
          <w:rFonts w:cs="Arial"/>
        </w:rPr>
        <w:t xml:space="preserve">) in IFP. </w:t>
      </w:r>
      <w:r>
        <w:rPr>
          <w:rFonts w:cs="Arial"/>
        </w:rPr>
        <w:t>Government agencies</w:t>
      </w:r>
      <w:r w:rsidR="000B74E8" w:rsidRPr="00EA0130">
        <w:rPr>
          <w:rFonts w:cs="Arial"/>
        </w:rPr>
        <w:t xml:space="preserve"> supported </w:t>
      </w:r>
      <w:r w:rsidR="000B74E8" w:rsidRPr="00EA0130">
        <w:rPr>
          <w:rFonts w:eastAsia="ArialMT" w:cs="Arial"/>
        </w:rPr>
        <w:t>the existing prohibition on the use of the words ‘human milk identical oligosaccharide’ or ‘human milk oligosaccharide’, and abbreviations ‘HMO’, ‘HiMO’, or any word or words or abbreviations having the same or similar effect on the labels of IFP.</w:t>
      </w:r>
    </w:p>
    <w:p w14:paraId="701BB0A3" w14:textId="77777777" w:rsidR="000B680D" w:rsidRDefault="000B680D" w:rsidP="000B680D">
      <w:pPr>
        <w:rPr>
          <w:rFonts w:eastAsia="ArialMT" w:cs="Arial"/>
        </w:rPr>
      </w:pPr>
    </w:p>
    <w:p w14:paraId="22C4CAD6" w14:textId="2E759818" w:rsidR="00BF001D" w:rsidRDefault="000B680D" w:rsidP="000B680D">
      <w:pPr>
        <w:rPr>
          <w:rFonts w:eastAsia="ArialMT"/>
        </w:rPr>
      </w:pPr>
      <w:r>
        <w:t xml:space="preserve">Differing views were received regarding permissions for the applicant’s </w:t>
      </w:r>
      <w:r w:rsidR="00412F04" w:rsidRPr="006C6A6B">
        <w:t>2′-FL</w:t>
      </w:r>
      <w:r>
        <w:t xml:space="preserve"> in FSFYC, and are summarised in Table 1 below.</w:t>
      </w:r>
    </w:p>
    <w:p w14:paraId="15336AF4" w14:textId="3A8EAA75" w:rsidR="007A53BF" w:rsidRPr="00B853D2" w:rsidRDefault="00DE5CC1" w:rsidP="00DE5CC1">
      <w:pPr>
        <w:pStyle w:val="FSTableTitle"/>
        <w:spacing w:before="120" w:after="120"/>
      </w:pPr>
      <w:r>
        <w:t xml:space="preserve">Table 1: Summary of issues </w:t>
      </w:r>
    </w:p>
    <w:tbl>
      <w:tblPr>
        <w:tblStyle w:val="ListTable4-Accent3"/>
        <w:tblW w:w="13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Summary of issues"/>
        <w:tblDescription w:val="Table 1: Summary of submission issues"/>
      </w:tblPr>
      <w:tblGrid>
        <w:gridCol w:w="567"/>
        <w:gridCol w:w="5608"/>
        <w:gridCol w:w="1480"/>
        <w:gridCol w:w="6342"/>
      </w:tblGrid>
      <w:tr w:rsidR="000B74E8" w:rsidRPr="006C6A6B" w14:paraId="62DF8878" w14:textId="77777777" w:rsidTr="00DA0DBB">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vAlign w:val="center"/>
          </w:tcPr>
          <w:p w14:paraId="16F5E65E" w14:textId="77777777" w:rsidR="000B74E8" w:rsidRPr="006C6A6B" w:rsidRDefault="000B74E8" w:rsidP="00B909CA">
            <w:pPr>
              <w:pStyle w:val="ListParagraph"/>
              <w:spacing w:before="120" w:after="120"/>
              <w:ind w:left="360"/>
              <w:contextualSpacing w:val="0"/>
            </w:pPr>
          </w:p>
        </w:tc>
        <w:tc>
          <w:tcPr>
            <w:tcW w:w="5608" w:type="dxa"/>
            <w:tcBorders>
              <w:top w:val="none" w:sz="0" w:space="0" w:color="auto"/>
              <w:bottom w:val="none" w:sz="0" w:space="0" w:color="auto"/>
            </w:tcBorders>
          </w:tcPr>
          <w:p w14:paraId="72936BDA" w14:textId="77777777" w:rsidR="000B74E8" w:rsidRPr="006D2D6F" w:rsidRDefault="000B74E8" w:rsidP="00B909CA">
            <w:pPr>
              <w:pStyle w:val="FSTableHeading"/>
              <w:spacing w:before="120" w:after="120"/>
              <w:cnfStyle w:val="100000000000" w:firstRow="1" w:lastRow="0" w:firstColumn="0" w:lastColumn="0" w:oddVBand="0" w:evenVBand="0" w:oddHBand="0" w:evenHBand="0" w:firstRowFirstColumn="0" w:firstRowLastColumn="0" w:lastRowFirstColumn="0" w:lastRowLastColumn="0"/>
              <w:rPr>
                <w:b/>
                <w:sz w:val="22"/>
              </w:rPr>
            </w:pPr>
            <w:r w:rsidRPr="006D2D6F">
              <w:rPr>
                <w:sz w:val="22"/>
              </w:rPr>
              <w:t>Issue</w:t>
            </w:r>
          </w:p>
        </w:tc>
        <w:tc>
          <w:tcPr>
            <w:tcW w:w="1480" w:type="dxa"/>
            <w:tcBorders>
              <w:top w:val="none" w:sz="0" w:space="0" w:color="auto"/>
              <w:bottom w:val="none" w:sz="0" w:space="0" w:color="auto"/>
            </w:tcBorders>
          </w:tcPr>
          <w:p w14:paraId="1C9D83E2" w14:textId="77777777" w:rsidR="000B74E8" w:rsidRPr="006D2D6F" w:rsidRDefault="000B74E8" w:rsidP="00B909CA">
            <w:pPr>
              <w:pStyle w:val="FSTableHeading"/>
              <w:spacing w:before="120" w:after="120"/>
              <w:cnfStyle w:val="100000000000" w:firstRow="1" w:lastRow="0" w:firstColumn="0" w:lastColumn="0" w:oddVBand="0" w:evenVBand="0" w:oddHBand="0" w:evenHBand="0" w:firstRowFirstColumn="0" w:firstRowLastColumn="0" w:lastRowFirstColumn="0" w:lastRowLastColumn="0"/>
              <w:rPr>
                <w:b/>
                <w:sz w:val="22"/>
              </w:rPr>
            </w:pPr>
            <w:r w:rsidRPr="006D2D6F">
              <w:rPr>
                <w:sz w:val="22"/>
              </w:rPr>
              <w:t>Raised by</w:t>
            </w:r>
          </w:p>
        </w:tc>
        <w:tc>
          <w:tcPr>
            <w:tcW w:w="6342" w:type="dxa"/>
            <w:tcBorders>
              <w:top w:val="none" w:sz="0" w:space="0" w:color="auto"/>
              <w:bottom w:val="none" w:sz="0" w:space="0" w:color="auto"/>
              <w:right w:val="none" w:sz="0" w:space="0" w:color="auto"/>
            </w:tcBorders>
          </w:tcPr>
          <w:p w14:paraId="61D927FA" w14:textId="3E6B3A9A" w:rsidR="000B74E8" w:rsidRPr="006C6A6B" w:rsidRDefault="000B74E8" w:rsidP="00B909CA">
            <w:pPr>
              <w:pStyle w:val="FSTableHeading"/>
              <w:spacing w:before="120" w:after="120"/>
              <w:cnfStyle w:val="100000000000" w:firstRow="1" w:lastRow="0" w:firstColumn="0" w:lastColumn="0" w:oddVBand="0" w:evenVBand="0" w:oddHBand="0" w:evenHBand="0" w:firstRowFirstColumn="0" w:firstRowLastColumn="0" w:lastRowFirstColumn="0" w:lastRowLastColumn="0"/>
              <w:rPr>
                <w:b/>
              </w:rPr>
            </w:pPr>
            <w:r w:rsidRPr="0058423E">
              <w:rPr>
                <w:b/>
                <w:sz w:val="24"/>
              </w:rPr>
              <w:t>FSANZ response</w:t>
            </w:r>
          </w:p>
        </w:tc>
      </w:tr>
      <w:tr w:rsidR="000B74E8" w:rsidRPr="006C6A6B" w14:paraId="696B4092" w14:textId="77777777" w:rsidTr="000B74E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4835DF4" w14:textId="77777777" w:rsidR="000B74E8" w:rsidRPr="006C6A6B" w:rsidRDefault="000B74E8" w:rsidP="00B909CA">
            <w:pPr>
              <w:pStyle w:val="ListParagraph"/>
              <w:spacing w:before="120" w:after="120"/>
              <w:ind w:left="360"/>
              <w:contextualSpacing w:val="0"/>
            </w:pPr>
          </w:p>
        </w:tc>
        <w:tc>
          <w:tcPr>
            <w:tcW w:w="13430" w:type="dxa"/>
            <w:gridSpan w:val="3"/>
          </w:tcPr>
          <w:p w14:paraId="2EB824DF" w14:textId="53D30D3B" w:rsidR="000B74E8" w:rsidRPr="006D2D6F" w:rsidRDefault="00032093" w:rsidP="006F0646">
            <w:pPr>
              <w:pStyle w:val="FSTableHeading"/>
              <w:spacing w:before="120" w:after="120"/>
              <w:cnfStyle w:val="000000100000" w:firstRow="0" w:lastRow="0" w:firstColumn="0" w:lastColumn="0" w:oddVBand="0" w:evenVBand="0" w:oddHBand="1" w:evenHBand="0" w:firstRowFirstColumn="0" w:firstRowLastColumn="0" w:lastRowFirstColumn="0" w:lastRowLastColumn="0"/>
              <w:rPr>
                <w:sz w:val="22"/>
              </w:rPr>
            </w:pPr>
            <w:r w:rsidRPr="006D2D6F">
              <w:rPr>
                <w:sz w:val="22"/>
              </w:rPr>
              <w:t>Permission for</w:t>
            </w:r>
            <w:r w:rsidR="000B74E8" w:rsidRPr="006D2D6F">
              <w:rPr>
                <w:sz w:val="22"/>
              </w:rPr>
              <w:t xml:space="preserve"> 2′-FL in FSFYC</w:t>
            </w:r>
          </w:p>
        </w:tc>
      </w:tr>
      <w:tr w:rsidR="000B74E8" w:rsidRPr="006C6A6B" w14:paraId="6A81343C" w14:textId="77777777" w:rsidTr="00DA0DBB">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2991EC5"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573E3D76" w14:textId="6755FCBA"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FSANZ</w:t>
            </w:r>
            <w:r w:rsidR="00B909CA">
              <w:t xml:space="preserve"> received requests to</w:t>
            </w:r>
            <w:r w:rsidRPr="006C6A6B">
              <w:t xml:space="preserve"> reconsider </w:t>
            </w:r>
            <w:r w:rsidR="005B03B2">
              <w:t>the</w:t>
            </w:r>
            <w:r w:rsidR="00B909CA">
              <w:t xml:space="preserve"> current regulation which does </w:t>
            </w:r>
            <w:r w:rsidRPr="006C6A6B">
              <w:t>not permit the addition of 2′-FL in FSFYC.</w:t>
            </w:r>
          </w:p>
          <w:p w14:paraId="06B992E0" w14:textId="564C9586" w:rsidR="000B74E8" w:rsidRPr="006C6A6B" w:rsidRDefault="000B74E8" w:rsidP="00A10E1D">
            <w:pPr>
              <w:spacing w:before="120" w:after="120"/>
              <w:cnfStyle w:val="000000000000" w:firstRow="0" w:lastRow="0" w:firstColumn="0" w:lastColumn="0" w:oddVBand="0" w:evenVBand="0" w:oddHBand="0" w:evenHBand="0" w:firstRowFirstColumn="0" w:firstRowLastColumn="0" w:lastRowFirstColumn="0" w:lastRowLastColumn="0"/>
            </w:pPr>
            <w:r w:rsidRPr="006C6A6B">
              <w:t xml:space="preserve">Further studies were provided for </w:t>
            </w:r>
            <w:r w:rsidR="00462771">
              <w:t>FSANZ’</w:t>
            </w:r>
            <w:r w:rsidR="004769D1">
              <w:t xml:space="preserve">s </w:t>
            </w:r>
            <w:r w:rsidRPr="006C6A6B">
              <w:t>consideration:</w:t>
            </w:r>
            <w:r w:rsidR="009F79AD">
              <w:t xml:space="preserve"> </w:t>
            </w:r>
            <w:r w:rsidRPr="006C6A6B">
              <w:t xml:space="preserve">Fonvig </w:t>
            </w:r>
            <w:r w:rsidRPr="006C6A6B">
              <w:rPr>
                <w:i/>
                <w:iCs/>
              </w:rPr>
              <w:t xml:space="preserve">et al </w:t>
            </w:r>
            <w:r w:rsidRPr="006C6A6B">
              <w:t xml:space="preserve">(2021); </w:t>
            </w:r>
            <w:r w:rsidR="00A10E1D" w:rsidRPr="00A10E1D">
              <w:t xml:space="preserve">Šuligoj </w:t>
            </w:r>
            <w:r w:rsidRPr="006C6A6B">
              <w:rPr>
                <w:i/>
                <w:iCs/>
              </w:rPr>
              <w:t xml:space="preserve">et al </w:t>
            </w:r>
            <w:r w:rsidRPr="006C6A6B">
              <w:t xml:space="preserve">(2020); Iribarren </w:t>
            </w:r>
            <w:r w:rsidRPr="006C6A6B">
              <w:rPr>
                <w:i/>
                <w:iCs/>
              </w:rPr>
              <w:t xml:space="preserve">et al </w:t>
            </w:r>
            <w:r w:rsidRPr="006C6A6B">
              <w:t xml:space="preserve">(2020); Palsson </w:t>
            </w:r>
            <w:r w:rsidRPr="006C6A6B">
              <w:rPr>
                <w:i/>
                <w:iCs/>
              </w:rPr>
              <w:t xml:space="preserve">et al </w:t>
            </w:r>
            <w:r w:rsidRPr="006C6A6B">
              <w:t>(2020);Salli et al (2020)</w:t>
            </w:r>
            <w:r w:rsidRPr="006C6A6B">
              <w:rPr>
                <w:bCs/>
              </w:rPr>
              <w:t>;</w:t>
            </w:r>
            <w:r w:rsidRPr="006C6A6B">
              <w:t xml:space="preserve"> </w:t>
            </w:r>
            <w:r w:rsidRPr="006C6A6B">
              <w:rPr>
                <w:bCs/>
              </w:rPr>
              <w:t xml:space="preserve">Schluter P </w:t>
            </w:r>
            <w:r w:rsidRPr="001573CE">
              <w:rPr>
                <w:bCs/>
                <w:i/>
              </w:rPr>
              <w:t>et al</w:t>
            </w:r>
            <w:r w:rsidRPr="006C6A6B">
              <w:rPr>
                <w:bCs/>
              </w:rPr>
              <w:t xml:space="preserve">. (2020); </w:t>
            </w:r>
            <w:r w:rsidR="00A10E1D">
              <w:t>Akkerman, Faas, and de Vos</w:t>
            </w:r>
            <w:r w:rsidRPr="006C6A6B">
              <w:t xml:space="preserve"> (2019)</w:t>
            </w:r>
            <w:r w:rsidR="00A10E1D">
              <w:t>;</w:t>
            </w:r>
            <w:r w:rsidRPr="006C6A6B">
              <w:t xml:space="preserve"> Kunz </w:t>
            </w:r>
            <w:r w:rsidRPr="00A10E1D">
              <w:rPr>
                <w:i/>
              </w:rPr>
              <w:t>et al.</w:t>
            </w:r>
            <w:r w:rsidRPr="006C6A6B">
              <w:t xml:space="preserve"> (2000)</w:t>
            </w:r>
            <w:r w:rsidR="009F79AD">
              <w:t>.</w:t>
            </w:r>
          </w:p>
        </w:tc>
        <w:tc>
          <w:tcPr>
            <w:tcW w:w="1480" w:type="dxa"/>
          </w:tcPr>
          <w:p w14:paraId="07F33C61" w14:textId="77777777" w:rsidR="009F79AD"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New Zealand Food Safety (NZFS)</w:t>
            </w:r>
          </w:p>
          <w:p w14:paraId="7C8985A9" w14:textId="2DF9C1E9" w:rsidR="009F79AD"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Australian Food and Grocery Council (AFGC)</w:t>
            </w:r>
          </w:p>
          <w:p w14:paraId="0D02705B" w14:textId="3CB9D75A"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 xml:space="preserve">New Zealand Food and Grocery </w:t>
            </w:r>
            <w:r w:rsidRPr="006C6A6B">
              <w:lastRenderedPageBreak/>
              <w:t>Council (NZFGC)</w:t>
            </w:r>
          </w:p>
          <w:p w14:paraId="319D18F8" w14:textId="0ADFEC7A" w:rsidR="000B74E8"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Infant Nutrition Council (INC)</w:t>
            </w:r>
          </w:p>
          <w:p w14:paraId="4B7FC7FB" w14:textId="5C3EAFDA" w:rsidR="007D231D" w:rsidRPr="006C6A6B" w:rsidRDefault="007D231D" w:rsidP="00B909CA">
            <w:pPr>
              <w:spacing w:before="120" w:after="120"/>
              <w:cnfStyle w:val="000000000000" w:firstRow="0" w:lastRow="0" w:firstColumn="0" w:lastColumn="0" w:oddVBand="0" w:evenVBand="0" w:oddHBand="0" w:evenHBand="0" w:firstRowFirstColumn="0" w:firstRowLastColumn="0" w:lastRowFirstColumn="0" w:lastRowLastColumn="0"/>
            </w:pPr>
            <w:r>
              <w:t>Nestlé</w:t>
            </w:r>
          </w:p>
          <w:p w14:paraId="72D3A7A0" w14:textId="70490545"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Dairy Goat Co-operative (NZ) Ltd. (DGC)</w:t>
            </w:r>
          </w:p>
          <w:p w14:paraId="48B022DD" w14:textId="77777777" w:rsidR="000B74E8"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Nutricia Australia Ltd (Nutricia)</w:t>
            </w:r>
          </w:p>
          <w:p w14:paraId="3CD2948B" w14:textId="60EF1547" w:rsidR="000F0BE2" w:rsidRPr="006C6A6B" w:rsidRDefault="000F0BE2"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Fonterra</w:t>
            </w:r>
          </w:p>
        </w:tc>
        <w:tc>
          <w:tcPr>
            <w:tcW w:w="6342" w:type="dxa"/>
          </w:tcPr>
          <w:p w14:paraId="7599763A" w14:textId="77777777"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lastRenderedPageBreak/>
              <w:t>FSANZ’s assessment of the evidence on beneficial health outcomes of 2′-FL in infants and young children is at SD1.</w:t>
            </w:r>
          </w:p>
          <w:p w14:paraId="48A12BA7" w14:textId="4794FCF9" w:rsidR="00C21E3D" w:rsidRDefault="0081587D" w:rsidP="00B909CA">
            <w:pPr>
              <w:spacing w:before="120" w:after="120"/>
              <w:cnfStyle w:val="000000000000" w:firstRow="0" w:lastRow="0" w:firstColumn="0" w:lastColumn="0" w:oddVBand="0" w:evenVBand="0" w:oddHBand="0" w:evenHBand="0" w:firstRowFirstColumn="0" w:firstRowLastColumn="0" w:lastRowFirstColumn="0" w:lastRowLastColumn="0"/>
            </w:pPr>
            <w:r>
              <w:t>Noting the decision made by the Food Ministers</w:t>
            </w:r>
            <w:r w:rsidR="00CB18A8">
              <w:t>’</w:t>
            </w:r>
            <w:r>
              <w:t xml:space="preserve"> Meeting in November 2020 regarding the review for A1155</w:t>
            </w:r>
            <w:r>
              <w:rPr>
                <w:rStyle w:val="FootnoteReference"/>
              </w:rPr>
              <w:footnoteReference w:id="17"/>
            </w:r>
            <w:r>
              <w:t xml:space="preserve">, </w:t>
            </w:r>
            <w:r w:rsidR="00E122BF">
              <w:t xml:space="preserve">and to support the assessment of all available evidence for </w:t>
            </w:r>
            <w:r w:rsidR="004666A1">
              <w:t>a</w:t>
            </w:r>
            <w:r w:rsidR="00E122BF">
              <w:t xml:space="preserve">pplication A1190, </w:t>
            </w:r>
            <w:r>
              <w:t xml:space="preserve">FSANZ requested additional evidence from the applicant supporting a beneficial health outcome in young children from the addition of </w:t>
            </w:r>
            <w:r w:rsidRPr="000F2E89">
              <w:t>2′-FL</w:t>
            </w:r>
            <w:r>
              <w:t xml:space="preserve"> in FSFYC. No additional evidence was available from the applicant and FSANZ did not identify any new scientific literature independently. </w:t>
            </w:r>
          </w:p>
          <w:p w14:paraId="1A93D3E1" w14:textId="6476C506"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FSANZ reviewed the</w:t>
            </w:r>
            <w:r w:rsidR="00B6622C">
              <w:t xml:space="preserve"> additional</w:t>
            </w:r>
            <w:r w:rsidRPr="006C6A6B">
              <w:t xml:space="preserve"> </w:t>
            </w:r>
            <w:r w:rsidR="00B6622C">
              <w:t>studies submitted during the Call for Submissions (CFS):</w:t>
            </w:r>
          </w:p>
          <w:p w14:paraId="34342E3D" w14:textId="49DB6ECD" w:rsidR="000B74E8" w:rsidRPr="006C6A6B" w:rsidRDefault="000B74E8" w:rsidP="00B909CA">
            <w:pPr>
              <w:pStyle w:val="ListParagraph"/>
              <w:widowControl/>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6C6A6B">
              <w:lastRenderedPageBreak/>
              <w:t xml:space="preserve">One </w:t>
            </w:r>
            <w:r w:rsidR="00B6622C">
              <w:t>study</w:t>
            </w:r>
            <w:r w:rsidR="00B6622C" w:rsidRPr="006C6A6B">
              <w:t xml:space="preserve"> </w:t>
            </w:r>
            <w:r w:rsidRPr="006C6A6B">
              <w:t>provided further evidence for 2′-FL having a bifidogenic effect in humans.</w:t>
            </w:r>
          </w:p>
          <w:p w14:paraId="67AF1222" w14:textId="779D98D9" w:rsidR="00B6622C" w:rsidRPr="006C6A6B" w:rsidRDefault="00B6622C" w:rsidP="00B6622C">
            <w:pPr>
              <w:pStyle w:val="ListParagraph"/>
              <w:widowControl/>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6C6A6B">
              <w:t xml:space="preserve">Four </w:t>
            </w:r>
            <w:r>
              <w:t>studies</w:t>
            </w:r>
            <w:r w:rsidRPr="006C6A6B">
              <w:t xml:space="preserve"> had already been evaluated</w:t>
            </w:r>
            <w:r>
              <w:t xml:space="preserve"> by FSANZ during </w:t>
            </w:r>
            <w:r w:rsidRPr="006C6A6B">
              <w:t>the assessment of application A1155.</w:t>
            </w:r>
          </w:p>
          <w:p w14:paraId="034967A3" w14:textId="7A2D985A" w:rsidR="00B6622C" w:rsidRDefault="00B6622C" w:rsidP="00CB0DA3">
            <w:pPr>
              <w:pStyle w:val="ListParagraph"/>
              <w:widowControl/>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t>Several studies</w:t>
            </w:r>
            <w:r w:rsidR="000B74E8" w:rsidRPr="006C6A6B">
              <w:t xml:space="preserve"> assessed mixtures of human milk oligosaccharides, such that the role of 2′-FL alone could not be assessed.</w:t>
            </w:r>
          </w:p>
          <w:p w14:paraId="23194F66" w14:textId="0F2EEC19" w:rsidR="00B6622C" w:rsidRDefault="000B74E8" w:rsidP="007706A1">
            <w:pPr>
              <w:pStyle w:val="ListParagraph"/>
              <w:widowControl/>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rsidRPr="006C6A6B">
              <w:t xml:space="preserve">Two </w:t>
            </w:r>
            <w:r w:rsidR="00B6622C">
              <w:t>studies</w:t>
            </w:r>
            <w:r w:rsidR="00B6622C" w:rsidRPr="006C6A6B">
              <w:t xml:space="preserve"> </w:t>
            </w:r>
            <w:r w:rsidRPr="006C6A6B">
              <w:t>(Palsson et al. 2020; Fonvig et al. 2021) propose</w:t>
            </w:r>
            <w:r w:rsidR="00B6622C">
              <w:t>d</w:t>
            </w:r>
            <w:r w:rsidRPr="006C6A6B">
              <w:t xml:space="preserve"> new health effects that </w:t>
            </w:r>
            <w:r w:rsidR="00B6622C">
              <w:t>we</w:t>
            </w:r>
            <w:r w:rsidRPr="006C6A6B">
              <w:t xml:space="preserve">re out of scope for the assessment of the applicant’s 2′-FL, such as management of </w:t>
            </w:r>
            <w:r w:rsidR="00B6622C">
              <w:t>irritable bowel syndrome</w:t>
            </w:r>
            <w:r w:rsidR="00B6622C" w:rsidRPr="006C6A6B">
              <w:t xml:space="preserve"> </w:t>
            </w:r>
            <w:r w:rsidRPr="006C6A6B">
              <w:t xml:space="preserve">or </w:t>
            </w:r>
            <w:r w:rsidR="00B6622C">
              <w:t xml:space="preserve">prevention of </w:t>
            </w:r>
            <w:r w:rsidRPr="006C6A6B">
              <w:t>dental caries.</w:t>
            </w:r>
          </w:p>
          <w:p w14:paraId="2BA7B228" w14:textId="64BEC828" w:rsidR="00B6622C" w:rsidRPr="006C6A6B" w:rsidRDefault="00B6622C" w:rsidP="00B6622C">
            <w:pPr>
              <w:pStyle w:val="ListParagraph"/>
              <w:widowControl/>
              <w:numPr>
                <w:ilvl w:val="0"/>
                <w:numId w:val="23"/>
              </w:numPr>
              <w:spacing w:before="120" w:after="120"/>
              <w:contextualSpacing w:val="0"/>
              <w:cnfStyle w:val="000000000000" w:firstRow="0" w:lastRow="0" w:firstColumn="0" w:lastColumn="0" w:oddVBand="0" w:evenVBand="0" w:oddHBand="0" w:evenHBand="0" w:firstRowFirstColumn="0" w:firstRowLastColumn="0" w:lastRowFirstColumn="0" w:lastRowLastColumn="0"/>
            </w:pPr>
            <w:r>
              <w:t>S</w:t>
            </w:r>
            <w:r w:rsidRPr="006C6A6B">
              <w:t xml:space="preserve">everal </w:t>
            </w:r>
            <w:r w:rsidR="004B6BA8">
              <w:t xml:space="preserve">studies </w:t>
            </w:r>
            <w:r w:rsidRPr="006C6A6B">
              <w:t>were review</w:t>
            </w:r>
            <w:r>
              <w:t>s of other studies.</w:t>
            </w:r>
          </w:p>
          <w:p w14:paraId="52E42C14" w14:textId="6D687ADE" w:rsidR="00C21E3D" w:rsidRDefault="00C21E3D" w:rsidP="00B909CA">
            <w:pPr>
              <w:spacing w:before="120" w:after="120"/>
              <w:cnfStyle w:val="000000000000" w:firstRow="0" w:lastRow="0" w:firstColumn="0" w:lastColumn="0" w:oddVBand="0" w:evenVBand="0" w:oddHBand="0" w:evenHBand="0" w:firstRowFirstColumn="0" w:firstRowLastColumn="0" w:lastRowFirstColumn="0" w:lastRowLastColumn="0"/>
            </w:pPr>
            <w:r>
              <w:t>T</w:t>
            </w:r>
            <w:r w:rsidR="004C4626">
              <w:t xml:space="preserve">he </w:t>
            </w:r>
            <w:r>
              <w:t xml:space="preserve">studies above were of low quality and limited relevance, and therefore FSANZ’s conclusions </w:t>
            </w:r>
            <w:r w:rsidR="00B6622C">
              <w:t xml:space="preserve">of the </w:t>
            </w:r>
            <w:r w:rsidR="00BC301D">
              <w:t xml:space="preserve">supplementary </w:t>
            </w:r>
            <w:r w:rsidR="00B6622C">
              <w:t>evidence</w:t>
            </w:r>
            <w:r w:rsidR="004C4626">
              <w:t xml:space="preserve"> provided by submitters</w:t>
            </w:r>
            <w:r w:rsidR="000B74E8" w:rsidRPr="006C6A6B">
              <w:t xml:space="preserve"> </w:t>
            </w:r>
            <w:r w:rsidR="00EF0FEB">
              <w:t>did</w:t>
            </w:r>
            <w:r w:rsidR="000B74E8" w:rsidRPr="006C6A6B">
              <w:t xml:space="preserve"> not change </w:t>
            </w:r>
            <w:r>
              <w:t xml:space="preserve">FSANZ’s </w:t>
            </w:r>
            <w:r w:rsidR="004C4626">
              <w:t xml:space="preserve">assessment </w:t>
            </w:r>
            <w:r w:rsidR="000B74E8" w:rsidRPr="006C6A6B">
              <w:t>conclusion</w:t>
            </w:r>
            <w:r w:rsidR="00EF0FEB">
              <w:t>s</w:t>
            </w:r>
            <w:r w:rsidR="004C4626">
              <w:t xml:space="preserve"> from the CFS</w:t>
            </w:r>
            <w:r w:rsidR="00EF0FEB">
              <w:t xml:space="preserve">. </w:t>
            </w:r>
          </w:p>
          <w:p w14:paraId="6CE36406" w14:textId="3CDC1D7A" w:rsidR="000B74E8" w:rsidRPr="006C6A6B" w:rsidRDefault="00C21E3D" w:rsidP="00D2625F">
            <w:pPr>
              <w:spacing w:before="120" w:after="120"/>
              <w:cnfStyle w:val="000000000000" w:firstRow="0" w:lastRow="0" w:firstColumn="0" w:lastColumn="0" w:oddVBand="0" w:evenVBand="0" w:oddHBand="0" w:evenHBand="0" w:firstRowFirstColumn="0" w:firstRowLastColumn="0" w:lastRowFirstColumn="0" w:lastRowLastColumn="0"/>
            </w:pPr>
            <w:r w:rsidRPr="006C6A6B">
              <w:t xml:space="preserve">FSANZ’s rationale for not permitting 2′-FL in FSFYC is </w:t>
            </w:r>
            <w:r>
              <w:t>discussed</w:t>
            </w:r>
            <w:r w:rsidRPr="006C6A6B">
              <w:t xml:space="preserve"> </w:t>
            </w:r>
            <w:r>
              <w:t xml:space="preserve">further </w:t>
            </w:r>
            <w:r w:rsidRPr="006C6A6B">
              <w:t>in Section 3.1</w:t>
            </w:r>
            <w:r>
              <w:t xml:space="preserve"> of </w:t>
            </w:r>
            <w:r w:rsidRPr="006C6A6B">
              <w:t>this report</w:t>
            </w:r>
            <w:r w:rsidR="003C1382">
              <w:t>.</w:t>
            </w:r>
          </w:p>
        </w:tc>
      </w:tr>
      <w:tr w:rsidR="000B74E8" w:rsidRPr="006C6A6B" w14:paraId="208BDDF7"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BDDDF3"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03F8B2A9" w14:textId="359EA734" w:rsidR="000B74E8" w:rsidRPr="006C6A6B" w:rsidRDefault="0003325C" w:rsidP="00B909CA">
            <w:pPr>
              <w:spacing w:before="120" w:after="120"/>
              <w:cnfStyle w:val="000000100000" w:firstRow="0" w:lastRow="0" w:firstColumn="0" w:lastColumn="0" w:oddVBand="0" w:evenVBand="0" w:oddHBand="1" w:evenHBand="0" w:firstRowFirstColumn="0" w:firstRowLastColumn="0" w:lastRowFirstColumn="0" w:lastRowLastColumn="0"/>
            </w:pPr>
            <w:r>
              <w:t xml:space="preserve">Support received for the </w:t>
            </w:r>
            <w:r w:rsidR="000B74E8" w:rsidRPr="006C6A6B">
              <w:t>consideration</w:t>
            </w:r>
            <w:r w:rsidRPr="006C6A6B">
              <w:t xml:space="preserve"> </w:t>
            </w:r>
            <w:r>
              <w:t>of the regulation of nutritive substances and novel f</w:t>
            </w:r>
            <w:r w:rsidRPr="006C6A6B">
              <w:t>oo</w:t>
            </w:r>
            <w:r>
              <w:t xml:space="preserve">ds in Proposals </w:t>
            </w:r>
            <w:r w:rsidR="000B74E8" w:rsidRPr="006C6A6B">
              <w:t>P1024 and P1028</w:t>
            </w:r>
            <w:r>
              <w:t>.</w:t>
            </w:r>
          </w:p>
          <w:p w14:paraId="76EAA8C6" w14:textId="431C8EB6" w:rsidR="000B74E8" w:rsidRPr="006C6A6B" w:rsidRDefault="0003325C" w:rsidP="0003325C">
            <w:pPr>
              <w:spacing w:before="120" w:after="120"/>
              <w:cnfStyle w:val="000000100000" w:firstRow="0" w:lastRow="0" w:firstColumn="0" w:lastColumn="0" w:oddVBand="0" w:evenVBand="0" w:oddHBand="1" w:evenHBand="0" w:firstRowFirstColumn="0" w:firstRowLastColumn="0" w:lastRowFirstColumn="0" w:lastRowLastColumn="0"/>
            </w:pPr>
            <w:r>
              <w:t xml:space="preserve">Support for </w:t>
            </w:r>
            <w:r w:rsidR="000B74E8" w:rsidRPr="006C6A6B">
              <w:t xml:space="preserve">premarket assessment of new ingredients </w:t>
            </w:r>
            <w:r>
              <w:t>focusing</w:t>
            </w:r>
            <w:r w:rsidR="000B74E8" w:rsidRPr="006C6A6B">
              <w:t xml:space="preserve"> on safety</w:t>
            </w:r>
            <w:r>
              <w:t>. It is proposed that this</w:t>
            </w:r>
            <w:r w:rsidR="000B74E8" w:rsidRPr="006C6A6B">
              <w:t xml:space="preserve"> would remove an</w:t>
            </w:r>
            <w:r>
              <w:t>y</w:t>
            </w:r>
            <w:r w:rsidR="000B74E8" w:rsidRPr="006C6A6B">
              <w:t xml:space="preserve"> ambiguity around a benefit assessment and promote innovation.</w:t>
            </w:r>
          </w:p>
        </w:tc>
        <w:tc>
          <w:tcPr>
            <w:tcW w:w="1480" w:type="dxa"/>
          </w:tcPr>
          <w:p w14:paraId="2359BAA7" w14:textId="77777777"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Fonterra</w:t>
            </w:r>
          </w:p>
        </w:tc>
        <w:tc>
          <w:tcPr>
            <w:tcW w:w="6342" w:type="dxa"/>
          </w:tcPr>
          <w:p w14:paraId="7DE0E3E9" w14:textId="77777777" w:rsidR="00C21E3D" w:rsidRDefault="000B74E8" w:rsidP="000C2EAB">
            <w:pPr>
              <w:spacing w:before="120" w:after="120"/>
              <w:cnfStyle w:val="000000100000" w:firstRow="0" w:lastRow="0" w:firstColumn="0" w:lastColumn="0" w:oddVBand="0" w:evenVBand="0" w:oddHBand="1" w:evenHBand="0" w:firstRowFirstColumn="0" w:firstRowLastColumn="0" w:lastRowFirstColumn="0" w:lastRowLastColumn="0"/>
            </w:pPr>
            <w:r w:rsidRPr="006C6A6B">
              <w:t xml:space="preserve">FSANZ acknowledges </w:t>
            </w:r>
            <w:r w:rsidR="00DD38F7">
              <w:t>the comments received regarding premarket assessment requirements</w:t>
            </w:r>
            <w:r w:rsidR="000C2EAB">
              <w:t xml:space="preserve">, however notes consideration of regulatory approaches around nutritive substances and novel foods are out of scope for this application and must be considered through other avenues. </w:t>
            </w:r>
          </w:p>
          <w:p w14:paraId="272A65B0" w14:textId="6E7C9E40" w:rsidR="00DD38F7" w:rsidRPr="006C6A6B" w:rsidRDefault="000C2EAB" w:rsidP="000C2EAB">
            <w:pPr>
              <w:spacing w:before="120" w:after="120"/>
              <w:cnfStyle w:val="000000100000" w:firstRow="0" w:lastRow="0" w:firstColumn="0" w:lastColumn="0" w:oddVBand="0" w:evenVBand="0" w:oddHBand="1" w:evenHBand="0" w:firstRowFirstColumn="0" w:firstRowLastColumn="0" w:lastRowFirstColumn="0" w:lastRowLastColumn="0"/>
            </w:pPr>
            <w:r>
              <w:t xml:space="preserve">FSANZ also notes </w:t>
            </w:r>
            <w:r w:rsidR="00C21E3D">
              <w:t>it must also have regard</w:t>
            </w:r>
            <w:r>
              <w:t xml:space="preserve"> to </w:t>
            </w:r>
            <w:r w:rsidR="00C21E3D">
              <w:t>relevant</w:t>
            </w:r>
            <w:r>
              <w:t xml:space="preserve"> ministerial policy guidelines</w:t>
            </w:r>
            <w:r w:rsidR="00C21E3D">
              <w:t>, as part of its consideration of the FSANZ Act requirements</w:t>
            </w:r>
            <w:r>
              <w:t>.</w:t>
            </w:r>
          </w:p>
        </w:tc>
      </w:tr>
      <w:tr w:rsidR="000B74E8" w:rsidRPr="006C6A6B" w14:paraId="6A5FB6D0"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0CF1C15" w14:textId="77777777" w:rsidR="000B74E8" w:rsidRPr="006C6A6B" w:rsidRDefault="000B74E8" w:rsidP="00B909CA">
            <w:pPr>
              <w:pStyle w:val="ListParagraph"/>
              <w:spacing w:before="120" w:after="120"/>
              <w:ind w:left="360"/>
              <w:contextualSpacing w:val="0"/>
            </w:pPr>
          </w:p>
        </w:tc>
        <w:tc>
          <w:tcPr>
            <w:tcW w:w="13430" w:type="dxa"/>
            <w:gridSpan w:val="3"/>
          </w:tcPr>
          <w:p w14:paraId="147512D2" w14:textId="632B3DD3" w:rsidR="000B74E8" w:rsidRPr="006C6A6B" w:rsidRDefault="000B74E8" w:rsidP="006F0646">
            <w:pPr>
              <w:pStyle w:val="FSTableHeading"/>
              <w:spacing w:before="120" w:after="120"/>
              <w:cnfStyle w:val="000000000000" w:firstRow="0" w:lastRow="0" w:firstColumn="0" w:lastColumn="0" w:oddVBand="0" w:evenVBand="0" w:oddHBand="0" w:evenHBand="0" w:firstRowFirstColumn="0" w:firstRowLastColumn="0" w:lastRowFirstColumn="0" w:lastRowLastColumn="0"/>
            </w:pPr>
            <w:r w:rsidRPr="0058423E">
              <w:rPr>
                <w:sz w:val="24"/>
              </w:rPr>
              <w:t xml:space="preserve">Permission for 2′-FL </w:t>
            </w:r>
            <w:r w:rsidR="00032093">
              <w:rPr>
                <w:sz w:val="24"/>
              </w:rPr>
              <w:t>as a therapeutic good</w:t>
            </w:r>
          </w:p>
        </w:tc>
      </w:tr>
      <w:tr w:rsidR="000B74E8" w:rsidRPr="006C6A6B" w14:paraId="1E6444A5"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4F53010"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7D41C23B" w14:textId="76552FBA"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The Therapeutic Goods Administration</w:t>
            </w:r>
            <w:r w:rsidR="001756D8">
              <w:t xml:space="preserve"> (TGA)</w:t>
            </w:r>
            <w:r w:rsidRPr="006C6A6B">
              <w:t xml:space="preserve"> permits use of 2’FL in supplements for young children from age one through to senior adults (ARTG IDs: 362438, 320165, 320164, 320162).</w:t>
            </w:r>
          </w:p>
        </w:tc>
        <w:tc>
          <w:tcPr>
            <w:tcW w:w="1480" w:type="dxa"/>
          </w:tcPr>
          <w:p w14:paraId="1E3E7B1C" w14:textId="4770358A" w:rsidR="001756D8"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INC</w:t>
            </w:r>
          </w:p>
          <w:p w14:paraId="36C2D449" w14:textId="3B29DA84" w:rsidR="00434C8B" w:rsidRDefault="00434C8B" w:rsidP="00B909CA">
            <w:pPr>
              <w:spacing w:before="120" w:after="120"/>
              <w:cnfStyle w:val="000000100000" w:firstRow="0" w:lastRow="0" w:firstColumn="0" w:lastColumn="0" w:oddVBand="0" w:evenVBand="0" w:oddHBand="1" w:evenHBand="0" w:firstRowFirstColumn="0" w:firstRowLastColumn="0" w:lastRowFirstColumn="0" w:lastRowLastColumn="0"/>
            </w:pPr>
            <w:r>
              <w:t>AFGC</w:t>
            </w:r>
          </w:p>
          <w:p w14:paraId="5A8C25A6" w14:textId="00AE3037" w:rsidR="001756D8"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Fonterra</w:t>
            </w:r>
          </w:p>
          <w:p w14:paraId="5EC54B57" w14:textId="4D9B4DF4"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Nutricia</w:t>
            </w:r>
          </w:p>
        </w:tc>
        <w:tc>
          <w:tcPr>
            <w:tcW w:w="6342" w:type="dxa"/>
          </w:tcPr>
          <w:p w14:paraId="33387A55" w14:textId="3B8D82AA" w:rsidR="001756D8" w:rsidRDefault="001756D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 xml:space="preserve">FSANZ </w:t>
            </w:r>
            <w:r w:rsidR="00214B30">
              <w:t>not</w:t>
            </w:r>
            <w:r w:rsidR="00214B30" w:rsidRPr="006C6A6B">
              <w:t xml:space="preserve">es </w:t>
            </w:r>
            <w:r>
              <w:t>the comments received regarding current permissions for products on the</w:t>
            </w:r>
            <w:r w:rsidRPr="000B680D">
              <w:t xml:space="preserve"> Australian Register of Therapeutic Goods</w:t>
            </w:r>
            <w:r>
              <w:t xml:space="preserve"> (ARTG).</w:t>
            </w:r>
          </w:p>
          <w:p w14:paraId="548C1DE9" w14:textId="4F633922" w:rsidR="001E51B7" w:rsidRPr="006C6A6B" w:rsidRDefault="00B756F8" w:rsidP="00C21E3D">
            <w:pPr>
              <w:spacing w:before="120" w:after="120"/>
              <w:cnfStyle w:val="000000100000" w:firstRow="0" w:lastRow="0" w:firstColumn="0" w:lastColumn="0" w:oddVBand="0" w:evenVBand="0" w:oddHBand="1" w:evenHBand="0" w:firstRowFirstColumn="0" w:firstRowLastColumn="0" w:lastRowFirstColumn="0" w:lastRowLastColumn="0"/>
            </w:pPr>
            <w:r>
              <w:t xml:space="preserve">However, </w:t>
            </w:r>
            <w:r w:rsidR="001756D8" w:rsidRPr="000B680D">
              <w:t xml:space="preserve">FSANZ and TGA are separate Commonwealth agencies with different </w:t>
            </w:r>
            <w:r>
              <w:t>statutory</w:t>
            </w:r>
            <w:r w:rsidRPr="000B680D">
              <w:t xml:space="preserve"> </w:t>
            </w:r>
            <w:r w:rsidR="009F10E1">
              <w:t>functions, powers and obligations</w:t>
            </w:r>
            <w:r w:rsidR="001756D8" w:rsidRPr="000B680D">
              <w:t xml:space="preserve">. As such, </w:t>
            </w:r>
            <w:r w:rsidR="00893544" w:rsidRPr="00F42576">
              <w:rPr>
                <w:szCs w:val="22"/>
              </w:rPr>
              <w:t>FSANZ</w:t>
            </w:r>
            <w:r w:rsidR="00D85819" w:rsidRPr="00F42576">
              <w:rPr>
                <w:szCs w:val="22"/>
              </w:rPr>
              <w:t xml:space="preserve"> </w:t>
            </w:r>
            <w:r w:rsidR="00893544" w:rsidRPr="00F42576">
              <w:rPr>
                <w:szCs w:val="22"/>
              </w:rPr>
              <w:t>must</w:t>
            </w:r>
            <w:r w:rsidR="00D85819" w:rsidRPr="00F42576">
              <w:rPr>
                <w:szCs w:val="22"/>
              </w:rPr>
              <w:t xml:space="preserve"> assess </w:t>
            </w:r>
            <w:r w:rsidR="00D2625F">
              <w:rPr>
                <w:szCs w:val="22"/>
              </w:rPr>
              <w:t>a</w:t>
            </w:r>
            <w:r w:rsidR="00D85819" w:rsidRPr="00F42576">
              <w:rPr>
                <w:szCs w:val="22"/>
              </w:rPr>
              <w:t xml:space="preserve">pplication A1190 in accordance with the FSANZ Act and the </w:t>
            </w:r>
            <w:r w:rsidR="00893544" w:rsidRPr="00F42576">
              <w:rPr>
                <w:szCs w:val="22"/>
              </w:rPr>
              <w:t>assessment criteria and processes prescribed by that Act.</w:t>
            </w:r>
          </w:p>
        </w:tc>
      </w:tr>
      <w:tr w:rsidR="000B74E8" w:rsidRPr="006C6A6B" w14:paraId="72B2A718"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7AA2EFC" w14:textId="77777777" w:rsidR="000B74E8" w:rsidRPr="006C6A6B" w:rsidRDefault="000B74E8" w:rsidP="00B909CA">
            <w:pPr>
              <w:pStyle w:val="ListParagraph"/>
              <w:spacing w:before="120" w:after="120"/>
              <w:ind w:left="360"/>
              <w:contextualSpacing w:val="0"/>
            </w:pPr>
          </w:p>
        </w:tc>
        <w:tc>
          <w:tcPr>
            <w:tcW w:w="13430" w:type="dxa"/>
            <w:gridSpan w:val="3"/>
          </w:tcPr>
          <w:p w14:paraId="26D92023" w14:textId="7D4582ED" w:rsidR="000B74E8" w:rsidRPr="006C6A6B" w:rsidRDefault="000B74E8" w:rsidP="00CE3AA7">
            <w:pPr>
              <w:pStyle w:val="FSTableHeading"/>
              <w:spacing w:before="120" w:after="120"/>
              <w:cnfStyle w:val="000000000000" w:firstRow="0" w:lastRow="0" w:firstColumn="0" w:lastColumn="0" w:oddVBand="0" w:evenVBand="0" w:oddHBand="0" w:evenHBand="0" w:firstRowFirstColumn="0" w:firstRowLastColumn="0" w:lastRowFirstColumn="0" w:lastRowLastColumn="0"/>
            </w:pPr>
            <w:r w:rsidRPr="0058423E">
              <w:rPr>
                <w:sz w:val="24"/>
              </w:rPr>
              <w:t>Cost-</w:t>
            </w:r>
            <w:r w:rsidR="002F0782">
              <w:rPr>
                <w:sz w:val="24"/>
              </w:rPr>
              <w:t>b</w:t>
            </w:r>
            <w:r w:rsidRPr="0058423E">
              <w:rPr>
                <w:sz w:val="24"/>
              </w:rPr>
              <w:t xml:space="preserve">enefit </w:t>
            </w:r>
            <w:r w:rsidR="002F0782">
              <w:rPr>
                <w:sz w:val="24"/>
              </w:rPr>
              <w:t>c</w:t>
            </w:r>
            <w:r w:rsidRPr="0058423E">
              <w:rPr>
                <w:sz w:val="24"/>
              </w:rPr>
              <w:t>onsiderations</w:t>
            </w:r>
          </w:p>
        </w:tc>
      </w:tr>
      <w:tr w:rsidR="000B74E8" w:rsidRPr="006C6A6B" w14:paraId="5C7E6E51"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AC12F64"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7043E9EA" w14:textId="42E572EB" w:rsidR="000B74E8" w:rsidRDefault="00CB2CEC" w:rsidP="00B909CA">
            <w:pPr>
              <w:spacing w:before="120" w:after="120"/>
              <w:cnfStyle w:val="000000100000" w:firstRow="0" w:lastRow="0" w:firstColumn="0" w:lastColumn="0" w:oddVBand="0" w:evenVBand="0" w:oddHBand="1" w:evenHBand="0" w:firstRowFirstColumn="0" w:firstRowLastColumn="0" w:lastRowFirstColumn="0" w:lastRowLastColumn="0"/>
            </w:pPr>
            <w:r>
              <w:t xml:space="preserve">It was noted that </w:t>
            </w:r>
            <w:r w:rsidR="000B74E8" w:rsidRPr="006C6A6B">
              <w:t>FSANZ’s cost benefit consideration highlighted that “…the importance of ensuring caregivers are not confused around the purpose or intent of FSFYC and do not buy foods that are not needed” (C</w:t>
            </w:r>
            <w:r w:rsidR="000B680D">
              <w:t>FS</w:t>
            </w:r>
            <w:r w:rsidR="000B74E8" w:rsidRPr="006C6A6B">
              <w:t xml:space="preserve"> p18) and that permitting the voluntary addition of the applicant’s 2′-FL in FSFYC may not be beneficial for all consumers. </w:t>
            </w:r>
          </w:p>
          <w:p w14:paraId="4CC456AC" w14:textId="537EEB08" w:rsidR="00CB2CEC" w:rsidRDefault="00CB2CEC" w:rsidP="00B909CA">
            <w:pPr>
              <w:spacing w:before="120" w:after="120"/>
              <w:cnfStyle w:val="000000100000" w:firstRow="0" w:lastRow="0" w:firstColumn="0" w:lastColumn="0" w:oddVBand="0" w:evenVBand="0" w:oddHBand="1" w:evenHBand="0" w:firstRowFirstColumn="0" w:firstRowLastColumn="0" w:lastRowFirstColumn="0" w:lastRowLastColumn="0"/>
            </w:pPr>
            <w:r>
              <w:t xml:space="preserve">Some submitters did not agree that consumers are confused </w:t>
            </w:r>
            <w:r w:rsidRPr="006C6A6B">
              <w:t>around the purpose or i</w:t>
            </w:r>
            <w:r>
              <w:t>ntent of FSFYC, providing c</w:t>
            </w:r>
            <w:r w:rsidRPr="006C6A6B">
              <w:t>onsumer data from an unknown source</w:t>
            </w:r>
            <w:r>
              <w:t xml:space="preserve"> to support this.</w:t>
            </w:r>
          </w:p>
          <w:p w14:paraId="3B20818B" w14:textId="5635DB1D" w:rsidR="000B74E8" w:rsidRPr="006C6A6B" w:rsidRDefault="00CB2CEC" w:rsidP="000B680D">
            <w:pPr>
              <w:widowControl/>
              <w:spacing w:before="120" w:after="120"/>
              <w:cnfStyle w:val="000000100000" w:firstRow="0" w:lastRow="0" w:firstColumn="0" w:lastColumn="0" w:oddVBand="0" w:evenVBand="0" w:oddHBand="1" w:evenHBand="0" w:firstRowFirstColumn="0" w:firstRowLastColumn="0" w:lastRowFirstColumn="0" w:lastRowLastColumn="0"/>
            </w:pPr>
            <w:r>
              <w:t xml:space="preserve">It was further stated that </w:t>
            </w:r>
            <w:r w:rsidR="000B74E8" w:rsidRPr="00CE3AA7">
              <w:t>any broader concerns relating to the presentation of FSFYC and consumers’ understanding of the purpose and intent of FSFYC should be addressed through a separate process and should not be the reason to not allow the voluntary addition of the applicant’s 2′-FL to FSFYC</w:t>
            </w:r>
            <w:r>
              <w:t>.</w:t>
            </w:r>
          </w:p>
        </w:tc>
        <w:tc>
          <w:tcPr>
            <w:tcW w:w="1480" w:type="dxa"/>
          </w:tcPr>
          <w:p w14:paraId="2E0B6FA3" w14:textId="753D6367" w:rsidR="00CB2CEC"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NZFS</w:t>
            </w:r>
          </w:p>
          <w:p w14:paraId="6ECBA4E4" w14:textId="55260144" w:rsidR="000B74E8"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INC</w:t>
            </w:r>
          </w:p>
          <w:p w14:paraId="6916838A" w14:textId="2B336C3A" w:rsidR="00CB2CEC" w:rsidRPr="006C6A6B" w:rsidRDefault="00CB2CEC" w:rsidP="00B909CA">
            <w:pPr>
              <w:spacing w:before="120" w:after="120"/>
              <w:cnfStyle w:val="000000100000" w:firstRow="0" w:lastRow="0" w:firstColumn="0" w:lastColumn="0" w:oddVBand="0" w:evenVBand="0" w:oddHBand="1" w:evenHBand="0" w:firstRowFirstColumn="0" w:firstRowLastColumn="0" w:lastRowFirstColumn="0" w:lastRowLastColumn="0"/>
            </w:pPr>
          </w:p>
        </w:tc>
        <w:tc>
          <w:tcPr>
            <w:tcW w:w="6342" w:type="dxa"/>
          </w:tcPr>
          <w:p w14:paraId="23E70CA8" w14:textId="2C38AAA0" w:rsidR="00CA1370" w:rsidRDefault="001E51B7" w:rsidP="00B909CA">
            <w:pPr>
              <w:spacing w:before="120" w:after="120"/>
              <w:cnfStyle w:val="000000100000" w:firstRow="0" w:lastRow="0" w:firstColumn="0" w:lastColumn="0" w:oddVBand="0" w:evenVBand="0" w:oddHBand="1" w:evenHBand="0" w:firstRowFirstColumn="0" w:firstRowLastColumn="0" w:lastRowFirstColumn="0" w:lastRowLastColumn="0"/>
            </w:pPr>
            <w:r>
              <w:t>FSANZ notes this comment</w:t>
            </w:r>
            <w:r w:rsidRPr="001E51B7">
              <w:t>. For the reasons stated in this report, FSANZ decided not to permit the voluntary addition of the applicant’s 2′-FL to FS</w:t>
            </w:r>
            <w:r>
              <w:t xml:space="preserve">FYC. See in particular </w:t>
            </w:r>
            <w:r w:rsidR="00B05F7E">
              <w:t>Section</w:t>
            </w:r>
            <w:r>
              <w:t xml:space="preserve"> 3</w:t>
            </w:r>
            <w:r w:rsidRPr="001E51B7">
              <w:t xml:space="preserve"> of this report. </w:t>
            </w:r>
            <w:r w:rsidR="00CE3AA7" w:rsidRPr="006C6A6B">
              <w:t xml:space="preserve">Providing choice to consumers is one aspect of a cost-benefit analysis. </w:t>
            </w:r>
            <w:r w:rsidR="00820685">
              <w:t>However, i</w:t>
            </w:r>
            <w:r w:rsidR="00820685" w:rsidRPr="006C6A6B">
              <w:t xml:space="preserve">t </w:t>
            </w:r>
            <w:r w:rsidR="00CE3AA7" w:rsidRPr="006C6A6B">
              <w:t>is also important to ensure the composition of the product aligns with the intended purpose of that product</w:t>
            </w:r>
            <w:r w:rsidR="00820685">
              <w:t>; and</w:t>
            </w:r>
            <w:r w:rsidR="00893544">
              <w:t>, in this regard,</w:t>
            </w:r>
            <w:r w:rsidR="00820685">
              <w:t xml:space="preserve"> the evidence supporting beneficial health outcomes in young children from the consumption of FSFYC containing </w:t>
            </w:r>
            <w:r w:rsidR="00820685" w:rsidRPr="00283B5D">
              <w:t>2′-FL</w:t>
            </w:r>
            <w:r w:rsidR="00820685">
              <w:t xml:space="preserve"> is limited</w:t>
            </w:r>
            <w:r w:rsidR="00CE3AA7" w:rsidRPr="006C6A6B">
              <w:t>.</w:t>
            </w:r>
          </w:p>
          <w:p w14:paraId="3112B4C6" w14:textId="5EBED48E" w:rsidR="00CE3AA7" w:rsidRDefault="001E51B7" w:rsidP="00B909CA">
            <w:pPr>
              <w:spacing w:before="120" w:after="120"/>
              <w:cnfStyle w:val="000000100000" w:firstRow="0" w:lastRow="0" w:firstColumn="0" w:lastColumn="0" w:oddVBand="0" w:evenVBand="0" w:oddHBand="1" w:evenHBand="0" w:firstRowFirstColumn="0" w:firstRowLastColumn="0" w:lastRowFirstColumn="0" w:lastRowLastColumn="0"/>
            </w:pPr>
            <w:r w:rsidRPr="001E51B7">
              <w:rPr>
                <w:szCs w:val="22"/>
              </w:rPr>
              <w:t>FSANZ assessed A1190 in accordance with requirements in the FSANZ Act and its decision not to permit 2′-FL in FSFYC is in line with current permissions for 2′-FL in the Code.</w:t>
            </w:r>
            <w:r w:rsidR="00CE3AA7" w:rsidRPr="006C6A6B">
              <w:rPr>
                <w:szCs w:val="22"/>
              </w:rPr>
              <w:t>.</w:t>
            </w:r>
          </w:p>
          <w:p w14:paraId="6070A533" w14:textId="4B626FBA" w:rsidR="000B74E8" w:rsidRPr="00FD1195" w:rsidRDefault="00664C94" w:rsidP="00664C94">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This issue has been addressed further in</w:t>
            </w:r>
            <w:r w:rsidR="00E330BC" w:rsidRPr="00FD1195">
              <w:rPr>
                <w:rFonts w:ascii="Arial" w:hAnsi="Arial"/>
                <w:sz w:val="22"/>
                <w:szCs w:val="22"/>
              </w:rPr>
              <w:t xml:space="preserve"> </w:t>
            </w:r>
            <w:r>
              <w:rPr>
                <w:rFonts w:ascii="Arial" w:hAnsi="Arial"/>
                <w:sz w:val="22"/>
                <w:szCs w:val="22"/>
              </w:rPr>
              <w:t>S</w:t>
            </w:r>
            <w:r w:rsidRPr="00FD1195">
              <w:rPr>
                <w:rFonts w:ascii="Arial" w:hAnsi="Arial"/>
                <w:sz w:val="22"/>
                <w:szCs w:val="22"/>
              </w:rPr>
              <w:t xml:space="preserve">ection </w:t>
            </w:r>
            <w:r w:rsidR="00FD1195">
              <w:rPr>
                <w:rFonts w:ascii="Arial" w:hAnsi="Arial"/>
                <w:sz w:val="22"/>
                <w:szCs w:val="22"/>
              </w:rPr>
              <w:t>5.1.1</w:t>
            </w:r>
            <w:r w:rsidR="00E330BC" w:rsidRPr="00FD1195">
              <w:rPr>
                <w:rFonts w:ascii="Arial" w:hAnsi="Arial"/>
                <w:sz w:val="22"/>
                <w:szCs w:val="22"/>
              </w:rPr>
              <w:t xml:space="preserve"> of this report.</w:t>
            </w:r>
            <w:r w:rsidR="000B74E8" w:rsidRPr="00FD1195">
              <w:rPr>
                <w:rFonts w:ascii="Arial" w:hAnsi="Arial"/>
                <w:sz w:val="22"/>
                <w:szCs w:val="22"/>
              </w:rPr>
              <w:t xml:space="preserve"> </w:t>
            </w:r>
          </w:p>
        </w:tc>
      </w:tr>
      <w:tr w:rsidR="000B74E8" w:rsidRPr="006C6A6B" w14:paraId="6FF475AB"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95AFCA1" w14:textId="77777777" w:rsidR="000B74E8" w:rsidRPr="006C6A6B" w:rsidRDefault="000B74E8" w:rsidP="00B909CA">
            <w:pPr>
              <w:pStyle w:val="ListParagraph"/>
              <w:spacing w:before="120" w:after="120"/>
              <w:ind w:left="360"/>
              <w:contextualSpacing w:val="0"/>
            </w:pPr>
          </w:p>
        </w:tc>
        <w:tc>
          <w:tcPr>
            <w:tcW w:w="13430" w:type="dxa"/>
            <w:gridSpan w:val="3"/>
          </w:tcPr>
          <w:p w14:paraId="329A9936" w14:textId="5AF767B3" w:rsidR="000B74E8" w:rsidRPr="006C6A6B" w:rsidRDefault="00032093" w:rsidP="006F0646">
            <w:pPr>
              <w:pStyle w:val="FSTableHeading"/>
              <w:spacing w:before="120" w:after="120"/>
              <w:cnfStyle w:val="000000000000" w:firstRow="0" w:lastRow="0" w:firstColumn="0" w:lastColumn="0" w:oddVBand="0" w:evenVBand="0" w:oddHBand="0" w:evenHBand="0" w:firstRowFirstColumn="0" w:firstRowLastColumn="0" w:lastRowFirstColumn="0" w:lastRowLastColumn="0"/>
            </w:pPr>
            <w:r>
              <w:rPr>
                <w:sz w:val="24"/>
              </w:rPr>
              <w:t>Nutritional value of</w:t>
            </w:r>
            <w:r w:rsidR="00CE3AA7">
              <w:rPr>
                <w:sz w:val="24"/>
              </w:rPr>
              <w:t xml:space="preserve"> all foods suitable for </w:t>
            </w:r>
            <w:r w:rsidR="00CE3AA7" w:rsidRPr="00FD1195">
              <w:rPr>
                <w:sz w:val="24"/>
              </w:rPr>
              <w:t>young children</w:t>
            </w:r>
            <w:r w:rsidR="00CE3AA7">
              <w:rPr>
                <w:rFonts w:eastAsia="Times New Roman"/>
              </w:rPr>
              <w:t xml:space="preserve"> </w:t>
            </w:r>
          </w:p>
        </w:tc>
      </w:tr>
      <w:tr w:rsidR="000B74E8" w:rsidRPr="006C6A6B" w14:paraId="5B1E70C2"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532526"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60C4D860" w14:textId="25E8F6D2" w:rsidR="000B74E8" w:rsidRPr="006C6A6B" w:rsidRDefault="00CE3AA7" w:rsidP="00CB0DA3">
            <w:pPr>
              <w:spacing w:before="120" w:after="120"/>
              <w:cnfStyle w:val="000000100000" w:firstRow="0" w:lastRow="0" w:firstColumn="0" w:lastColumn="0" w:oddVBand="0" w:evenVBand="0" w:oddHBand="1" w:evenHBand="0" w:firstRowFirstColumn="0" w:firstRowLastColumn="0" w:lastRowFirstColumn="0" w:lastRowLastColumn="0"/>
            </w:pPr>
            <w:r>
              <w:rPr>
                <w:rFonts w:eastAsia="Times New Roman"/>
              </w:rPr>
              <w:t>It was highlighted that t</w:t>
            </w:r>
            <w:r w:rsidR="000B74E8" w:rsidRPr="006C6A6B">
              <w:rPr>
                <w:rFonts w:eastAsia="Times New Roman"/>
              </w:rPr>
              <w:t>here is no prohibition in the Code for food</w:t>
            </w:r>
            <w:r>
              <w:rPr>
                <w:rFonts w:eastAsia="Times New Roman"/>
              </w:rPr>
              <w:t>s or food</w:t>
            </w:r>
            <w:r w:rsidR="000B74E8" w:rsidRPr="006C6A6B">
              <w:rPr>
                <w:rFonts w:eastAsia="Times New Roman"/>
              </w:rPr>
              <w:t xml:space="preserve"> ingredients that </w:t>
            </w:r>
            <w:r>
              <w:rPr>
                <w:rFonts w:eastAsia="Times New Roman"/>
              </w:rPr>
              <w:t>are</w:t>
            </w:r>
            <w:r w:rsidR="000B74E8" w:rsidRPr="006C6A6B">
              <w:rPr>
                <w:rFonts w:eastAsia="Times New Roman"/>
              </w:rPr>
              <w:t xml:space="preserve"> fed to young children</w:t>
            </w:r>
            <w:r>
              <w:rPr>
                <w:rFonts w:eastAsia="Times New Roman"/>
              </w:rPr>
              <w:t xml:space="preserve"> but</w:t>
            </w:r>
            <w:r w:rsidRPr="006C6A6B">
              <w:rPr>
                <w:rFonts w:eastAsia="Times New Roman"/>
              </w:rPr>
              <w:t xml:space="preserve"> </w:t>
            </w:r>
            <w:r w:rsidR="000B74E8" w:rsidRPr="006C6A6B">
              <w:rPr>
                <w:rFonts w:eastAsia="Times New Roman"/>
              </w:rPr>
              <w:t>lack good nutritional</w:t>
            </w:r>
            <w:r>
              <w:rPr>
                <w:rFonts w:eastAsia="Times New Roman"/>
              </w:rPr>
              <w:t xml:space="preserve"> value</w:t>
            </w:r>
            <w:r w:rsidR="000B74E8" w:rsidRPr="006C6A6B">
              <w:rPr>
                <w:rFonts w:eastAsia="Times New Roman"/>
              </w:rPr>
              <w:t xml:space="preserve"> or benefi</w:t>
            </w:r>
            <w:r>
              <w:rPr>
                <w:rFonts w:eastAsia="Times New Roman"/>
              </w:rPr>
              <w:t xml:space="preserve">t overall </w:t>
            </w:r>
            <w:r w:rsidR="000B74E8" w:rsidRPr="006C6A6B">
              <w:rPr>
                <w:rFonts w:eastAsia="Times New Roman"/>
              </w:rPr>
              <w:t>(e.g. highly processed snack foods).</w:t>
            </w:r>
          </w:p>
        </w:tc>
        <w:tc>
          <w:tcPr>
            <w:tcW w:w="1480" w:type="dxa"/>
          </w:tcPr>
          <w:p w14:paraId="7AADD634" w14:textId="77777777"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Nutricia</w:t>
            </w:r>
          </w:p>
        </w:tc>
        <w:tc>
          <w:tcPr>
            <w:tcW w:w="6342" w:type="dxa"/>
          </w:tcPr>
          <w:p w14:paraId="3A4167F6" w14:textId="6B68DC29" w:rsidR="00C30F23" w:rsidRDefault="00C30F23" w:rsidP="00CB0DA3">
            <w:pPr>
              <w:spacing w:before="120" w:after="120"/>
              <w:cnfStyle w:val="000000100000" w:firstRow="0" w:lastRow="0" w:firstColumn="0" w:lastColumn="0" w:oddVBand="0" w:evenVBand="0" w:oddHBand="1" w:evenHBand="0" w:firstRowFirstColumn="0" w:firstRowLastColumn="0" w:lastRowFirstColumn="0" w:lastRowLastColumn="0"/>
            </w:pPr>
            <w:r>
              <w:t xml:space="preserve">FSANZ </w:t>
            </w:r>
            <w:r w:rsidR="00D92628">
              <w:t>not</w:t>
            </w:r>
            <w:r>
              <w:t>es this comment.</w:t>
            </w:r>
          </w:p>
          <w:p w14:paraId="728867A4" w14:textId="77777777" w:rsidR="00C30F23" w:rsidRDefault="00C30F23" w:rsidP="00CB0DA3">
            <w:pPr>
              <w:spacing w:before="120" w:after="120"/>
              <w:cnfStyle w:val="000000100000" w:firstRow="0" w:lastRow="0" w:firstColumn="0" w:lastColumn="0" w:oddVBand="0" w:evenVBand="0" w:oddHBand="1" w:evenHBand="0" w:firstRowFirstColumn="0" w:firstRowLastColumn="0" w:lastRowFirstColumn="0" w:lastRowLastColumn="0"/>
            </w:pPr>
            <w:r>
              <w:t xml:space="preserve">However, </w:t>
            </w:r>
            <w:r w:rsidR="000B74E8" w:rsidRPr="006C6A6B">
              <w:t xml:space="preserve">FSANZ </w:t>
            </w:r>
            <w:r w:rsidR="00F05130">
              <w:t xml:space="preserve">notes the scope of this application </w:t>
            </w:r>
            <w:r>
              <w:t xml:space="preserve">specifically </w:t>
            </w:r>
            <w:r w:rsidR="00F05130">
              <w:t xml:space="preserve">relates to </w:t>
            </w:r>
            <w:r w:rsidR="00F05130" w:rsidRPr="006C6A6B">
              <w:t>special purpose foods designed to supplement the diets of young children where intakes of energy and nutrients may not be adequate to meet a child’s requirements</w:t>
            </w:r>
            <w:r w:rsidR="00F05130">
              <w:t xml:space="preserve">, </w:t>
            </w:r>
            <w:r>
              <w:t xml:space="preserve">and </w:t>
            </w:r>
            <w:r w:rsidR="00F05130">
              <w:t>therefore assessment is required.</w:t>
            </w:r>
          </w:p>
          <w:p w14:paraId="79FF8857" w14:textId="0E2D0277" w:rsidR="000B74E8" w:rsidRPr="006C6A6B" w:rsidRDefault="00C30F23" w:rsidP="00C30F23">
            <w:pPr>
              <w:spacing w:before="120" w:after="120"/>
              <w:cnfStyle w:val="000000100000" w:firstRow="0" w:lastRow="0" w:firstColumn="0" w:lastColumn="0" w:oddVBand="0" w:evenVBand="0" w:oddHBand="1" w:evenHBand="0" w:firstRowFirstColumn="0" w:firstRowLastColumn="0" w:lastRowFirstColumn="0" w:lastRowLastColumn="0"/>
            </w:pPr>
            <w:r>
              <w:t xml:space="preserve">As such, issues regarding </w:t>
            </w:r>
            <w:r w:rsidRPr="006C6A6B">
              <w:rPr>
                <w:rFonts w:eastAsia="Times New Roman"/>
              </w:rPr>
              <w:t>food</w:t>
            </w:r>
            <w:r>
              <w:rPr>
                <w:rFonts w:eastAsia="Times New Roman"/>
              </w:rPr>
              <w:t xml:space="preserve"> or food</w:t>
            </w:r>
            <w:r w:rsidRPr="006C6A6B">
              <w:rPr>
                <w:rFonts w:eastAsia="Times New Roman"/>
              </w:rPr>
              <w:t xml:space="preserve"> ingredients that </w:t>
            </w:r>
            <w:r>
              <w:rPr>
                <w:rFonts w:eastAsia="Times New Roman"/>
              </w:rPr>
              <w:t>are</w:t>
            </w:r>
            <w:r w:rsidRPr="006C6A6B">
              <w:rPr>
                <w:rFonts w:eastAsia="Times New Roman"/>
              </w:rPr>
              <w:t xml:space="preserve"> fed to young children</w:t>
            </w:r>
            <w:r>
              <w:rPr>
                <w:rFonts w:eastAsia="Times New Roman"/>
              </w:rPr>
              <w:t xml:space="preserve"> ,which</w:t>
            </w:r>
            <w:r w:rsidRPr="006C6A6B">
              <w:rPr>
                <w:rFonts w:eastAsia="Times New Roman"/>
              </w:rPr>
              <w:t xml:space="preserve"> lack good nutritional</w:t>
            </w:r>
            <w:r>
              <w:rPr>
                <w:rFonts w:eastAsia="Times New Roman"/>
              </w:rPr>
              <w:t xml:space="preserve"> value</w:t>
            </w:r>
            <w:r w:rsidRPr="006C6A6B">
              <w:rPr>
                <w:rFonts w:eastAsia="Times New Roman"/>
              </w:rPr>
              <w:t xml:space="preserve"> or benefi</w:t>
            </w:r>
            <w:r>
              <w:rPr>
                <w:rFonts w:eastAsia="Times New Roman"/>
              </w:rPr>
              <w:t xml:space="preserve">t overall </w:t>
            </w:r>
            <w:r w:rsidRPr="006C6A6B">
              <w:rPr>
                <w:rFonts w:eastAsia="Times New Roman"/>
              </w:rPr>
              <w:t>(e.g. highly processed snack foods)</w:t>
            </w:r>
            <w:r>
              <w:rPr>
                <w:rFonts w:eastAsia="Times New Roman"/>
              </w:rPr>
              <w:t xml:space="preserve"> are outside the scope of this application.</w:t>
            </w:r>
          </w:p>
        </w:tc>
      </w:tr>
      <w:tr w:rsidR="000B74E8" w:rsidRPr="006C6A6B" w14:paraId="286633B2"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9D8A5C2" w14:textId="77777777" w:rsidR="000B74E8" w:rsidRPr="006C6A6B" w:rsidRDefault="000B74E8" w:rsidP="00193A7F">
            <w:pPr>
              <w:pStyle w:val="ListParagraph"/>
              <w:keepNext/>
              <w:spacing w:before="120" w:after="120"/>
              <w:ind w:left="360"/>
              <w:contextualSpacing w:val="0"/>
              <w:rPr>
                <w:iCs/>
              </w:rPr>
            </w:pPr>
          </w:p>
        </w:tc>
        <w:tc>
          <w:tcPr>
            <w:tcW w:w="13430" w:type="dxa"/>
            <w:gridSpan w:val="3"/>
          </w:tcPr>
          <w:p w14:paraId="475BD0CD" w14:textId="61A93897" w:rsidR="000B74E8" w:rsidRPr="006C6A6B" w:rsidRDefault="0074216C" w:rsidP="00193A7F">
            <w:pPr>
              <w:pStyle w:val="FSTableHeading"/>
              <w:keepNext/>
              <w:spacing w:before="120" w:after="120"/>
              <w:cnfStyle w:val="000000000000" w:firstRow="0" w:lastRow="0" w:firstColumn="0" w:lastColumn="0" w:oddVBand="0" w:evenVBand="0" w:oddHBand="0" w:evenHBand="0" w:firstRowFirstColumn="0" w:firstRowLastColumn="0" w:lastRowFirstColumn="0" w:lastRowLastColumn="0"/>
            </w:pPr>
            <w:r>
              <w:rPr>
                <w:sz w:val="24"/>
              </w:rPr>
              <w:t>P</w:t>
            </w:r>
            <w:r w:rsidR="00F05130" w:rsidRPr="0058423E">
              <w:rPr>
                <w:sz w:val="24"/>
              </w:rPr>
              <w:t xml:space="preserve">ermissions </w:t>
            </w:r>
            <w:r w:rsidR="00F05130">
              <w:rPr>
                <w:sz w:val="24"/>
              </w:rPr>
              <w:t xml:space="preserve">for </w:t>
            </w:r>
            <w:r w:rsidR="000B74E8" w:rsidRPr="0058423E">
              <w:rPr>
                <w:sz w:val="24"/>
              </w:rPr>
              <w:t>GOS and Inulin-Type Fructan</w:t>
            </w:r>
            <w:r w:rsidR="004C4626">
              <w:rPr>
                <w:sz w:val="24"/>
              </w:rPr>
              <w:t>s</w:t>
            </w:r>
            <w:r w:rsidR="000B74E8" w:rsidRPr="0058423E">
              <w:rPr>
                <w:sz w:val="24"/>
              </w:rPr>
              <w:t xml:space="preserve"> </w:t>
            </w:r>
          </w:p>
        </w:tc>
      </w:tr>
      <w:tr w:rsidR="000B74E8" w:rsidRPr="006C6A6B" w14:paraId="29D11358" w14:textId="77777777" w:rsidTr="00DA0DB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3DA0ABA" w14:textId="77777777" w:rsidR="000B74E8" w:rsidRPr="006C6A6B" w:rsidRDefault="000B74E8" w:rsidP="00B909CA">
            <w:pPr>
              <w:pStyle w:val="ListParagraph"/>
              <w:widowControl/>
              <w:numPr>
                <w:ilvl w:val="0"/>
                <w:numId w:val="28"/>
              </w:numPr>
              <w:spacing w:before="120" w:after="120"/>
              <w:contextualSpacing w:val="0"/>
              <w:rPr>
                <w:iCs/>
              </w:rPr>
            </w:pPr>
          </w:p>
        </w:tc>
        <w:tc>
          <w:tcPr>
            <w:tcW w:w="5608" w:type="dxa"/>
          </w:tcPr>
          <w:p w14:paraId="6DB9DA35" w14:textId="20050CDD" w:rsidR="00C32814" w:rsidRDefault="00C32814" w:rsidP="00B909CA">
            <w:pPr>
              <w:spacing w:before="120" w:after="120"/>
              <w:cnfStyle w:val="000000100000" w:firstRow="0" w:lastRow="0" w:firstColumn="0" w:lastColumn="0" w:oddVBand="0" w:evenVBand="0" w:oddHBand="1" w:evenHBand="0" w:firstRowFirstColumn="0" w:firstRowLastColumn="0" w:lastRowFirstColumn="0" w:lastRowLastColumn="0"/>
            </w:pPr>
            <w:r>
              <w:t>C</w:t>
            </w:r>
            <w:r w:rsidR="000B74E8" w:rsidRPr="006C6A6B">
              <w:t>oncerns</w:t>
            </w:r>
            <w:r>
              <w:t xml:space="preserve"> were raised regarding </w:t>
            </w:r>
            <w:r w:rsidR="000B74E8" w:rsidRPr="006C6A6B">
              <w:t>inconsistenc</w:t>
            </w:r>
            <w:r>
              <w:t>ies</w:t>
            </w:r>
            <w:r w:rsidR="000B74E8" w:rsidRPr="006C6A6B">
              <w:t xml:space="preserve"> </w:t>
            </w:r>
            <w:r>
              <w:t>in the Code for IFP and FSFYC.</w:t>
            </w:r>
          </w:p>
          <w:p w14:paraId="274A8F7D" w14:textId="65A4B225" w:rsidR="000B74E8" w:rsidRDefault="00C32814" w:rsidP="007706A1">
            <w:pPr>
              <w:spacing w:before="120" w:after="120"/>
              <w:cnfStyle w:val="000000100000" w:firstRow="0" w:lastRow="0" w:firstColumn="0" w:lastColumn="0" w:oddVBand="0" w:evenVBand="0" w:oddHBand="1" w:evenHBand="0" w:firstRowFirstColumn="0" w:firstRowLastColumn="0" w:lastRowFirstColumn="0" w:lastRowLastColumn="0"/>
            </w:pPr>
            <w:r>
              <w:t>There are</w:t>
            </w:r>
            <w:r w:rsidR="000B74E8" w:rsidRPr="006C6A6B">
              <w:t xml:space="preserve"> voluntary permissions </w:t>
            </w:r>
            <w:r>
              <w:t xml:space="preserve">to add </w:t>
            </w:r>
            <w:r w:rsidR="000B74E8" w:rsidRPr="006C6A6B">
              <w:t>other non-digestible oligosaccharides (GOS and ITF)</w:t>
            </w:r>
            <w:r>
              <w:t xml:space="preserve"> to </w:t>
            </w:r>
            <w:r w:rsidRPr="006C6A6B">
              <w:t>FSFYC</w:t>
            </w:r>
            <w:r>
              <w:t xml:space="preserve"> with the intent to </w:t>
            </w:r>
            <w:r w:rsidR="000B74E8" w:rsidRPr="006C6A6B">
              <w:t>provide some of the beneficial effects provided by HMOs in human milk but</w:t>
            </w:r>
            <w:r>
              <w:t xml:space="preserve"> they</w:t>
            </w:r>
            <w:r w:rsidR="000B74E8" w:rsidRPr="006C6A6B">
              <w:t xml:space="preserve"> cannot substitute all HMO functions (Akkerman, Faas, and de Vos 2019).</w:t>
            </w:r>
          </w:p>
          <w:p w14:paraId="33BD3BA6" w14:textId="559C599F" w:rsidR="000B74E8" w:rsidRPr="006C6A6B" w:rsidRDefault="00C32814" w:rsidP="00B909CA">
            <w:pPr>
              <w:spacing w:before="120" w:after="120"/>
              <w:cnfStyle w:val="000000100000" w:firstRow="0" w:lastRow="0" w:firstColumn="0" w:lastColumn="0" w:oddVBand="0" w:evenVBand="0" w:oddHBand="1" w:evenHBand="0" w:firstRowFirstColumn="0" w:firstRowLastColumn="0" w:lastRowFirstColumn="0" w:lastRowLastColumn="0"/>
            </w:pPr>
            <w:r>
              <w:t>It was also stated that</w:t>
            </w:r>
            <w:r w:rsidR="000B74E8" w:rsidRPr="006C6A6B">
              <w:t xml:space="preserve"> the</w:t>
            </w:r>
            <w:r>
              <w:t xml:space="preserve"> existing</w:t>
            </w:r>
            <w:r w:rsidR="000B74E8" w:rsidRPr="006C6A6B">
              <w:t xml:space="preserve"> prohibition </w:t>
            </w:r>
            <w:r>
              <w:t>regarding the</w:t>
            </w:r>
            <w:r w:rsidR="000B74E8" w:rsidRPr="006C6A6B">
              <w:t xml:space="preserve"> use of 2′-FL with GOS and ITF </w:t>
            </w:r>
            <w:r>
              <w:t xml:space="preserve">in IFP </w:t>
            </w:r>
            <w:r w:rsidR="000B74E8" w:rsidRPr="006C6A6B">
              <w:t xml:space="preserve">inhibits innovation and does not harmonise with permissions in other countries. </w:t>
            </w:r>
          </w:p>
        </w:tc>
        <w:tc>
          <w:tcPr>
            <w:tcW w:w="1480" w:type="dxa"/>
          </w:tcPr>
          <w:p w14:paraId="7D7BDB08" w14:textId="1FC8D358" w:rsidR="00F05130"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NZFS</w:t>
            </w:r>
          </w:p>
          <w:p w14:paraId="52F66527" w14:textId="77777777" w:rsidR="00F05130"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INC</w:t>
            </w:r>
          </w:p>
          <w:p w14:paraId="7DA61C7A" w14:textId="2CF45CF5"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DGC</w:t>
            </w:r>
          </w:p>
          <w:p w14:paraId="6E491317" w14:textId="77777777" w:rsidR="00F05130"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Fonterra</w:t>
            </w:r>
          </w:p>
          <w:p w14:paraId="689F77F8" w14:textId="64194CD2" w:rsidR="000B74E8" w:rsidRPr="006C6A6B" w:rsidRDefault="006C6A6B" w:rsidP="00B909CA">
            <w:pPr>
              <w:spacing w:before="120" w:after="120"/>
              <w:cnfStyle w:val="000000100000" w:firstRow="0" w:lastRow="0" w:firstColumn="0" w:lastColumn="0" w:oddVBand="0" w:evenVBand="0" w:oddHBand="1" w:evenHBand="0" w:firstRowFirstColumn="0" w:firstRowLastColumn="0" w:lastRowFirstColumn="0" w:lastRowLastColumn="0"/>
            </w:pPr>
            <w:r>
              <w:t>N</w:t>
            </w:r>
            <w:r w:rsidR="000B74E8" w:rsidRPr="006C6A6B">
              <w:t>utricia</w:t>
            </w:r>
          </w:p>
        </w:tc>
        <w:tc>
          <w:tcPr>
            <w:tcW w:w="6342" w:type="dxa"/>
          </w:tcPr>
          <w:p w14:paraId="26901013" w14:textId="7561E3DA" w:rsidR="008107F6" w:rsidRDefault="008107F6" w:rsidP="008107F6">
            <w:pPr>
              <w:spacing w:before="120" w:after="120"/>
              <w:cnfStyle w:val="000000100000" w:firstRow="0" w:lastRow="0" w:firstColumn="0" w:lastColumn="0" w:oddVBand="0" w:evenVBand="0" w:oddHBand="1" w:evenHBand="0" w:firstRowFirstColumn="0" w:firstRowLastColumn="0" w:lastRowFirstColumn="0" w:lastRowLastColumn="0"/>
            </w:pPr>
            <w:r>
              <w:t>FSANZ notes this concern.</w:t>
            </w:r>
          </w:p>
          <w:p w14:paraId="54C8A0A1" w14:textId="1C7C4E0A" w:rsidR="008107F6" w:rsidRDefault="008107F6" w:rsidP="008107F6">
            <w:pPr>
              <w:spacing w:before="120" w:after="120"/>
              <w:cnfStyle w:val="000000100000" w:firstRow="0" w:lastRow="0" w:firstColumn="0" w:lastColumn="0" w:oddVBand="0" w:evenVBand="0" w:oddHBand="1" w:evenHBand="0" w:firstRowFirstColumn="0" w:firstRowLastColumn="0" w:lastRowFirstColumn="0" w:lastRowLastColumn="0"/>
            </w:pPr>
            <w:r>
              <w:t xml:space="preserve">However, issues regarding the addition of 2′-FL to IFP and FSFYC in combination with GOS and/or ITF are outside the scope of </w:t>
            </w:r>
            <w:r w:rsidR="00CA1370">
              <w:t xml:space="preserve">Application </w:t>
            </w:r>
            <w:r>
              <w:t>A1190.</w:t>
            </w:r>
          </w:p>
          <w:p w14:paraId="05694D42" w14:textId="41D0CE7A" w:rsidR="008107F6" w:rsidRDefault="008107F6" w:rsidP="008107F6">
            <w:pPr>
              <w:spacing w:before="120" w:after="120"/>
              <w:cnfStyle w:val="000000100000" w:firstRow="0" w:lastRow="0" w:firstColumn="0" w:lastColumn="0" w:oddVBand="0" w:evenVBand="0" w:oddHBand="1" w:evenHBand="0" w:firstRowFirstColumn="0" w:firstRowLastColumn="0" w:lastRowFirstColumn="0" w:lastRowLastColumn="0"/>
            </w:pPr>
            <w:r>
              <w:t>This is because FSANZ’s assessment of an application is limited by the scope of the application</w:t>
            </w:r>
            <w:r w:rsidR="00CA1370">
              <w:t xml:space="preserve">, which </w:t>
            </w:r>
            <w:r>
              <w:t>did not seek permission to use 2′-FL in combination with GOS and/or ITF.</w:t>
            </w:r>
          </w:p>
          <w:p w14:paraId="14A21A21" w14:textId="352B034A" w:rsidR="000B74E8" w:rsidRPr="006C6A6B" w:rsidRDefault="008107F6" w:rsidP="00B909CA">
            <w:pPr>
              <w:spacing w:before="120" w:after="120"/>
              <w:cnfStyle w:val="000000100000" w:firstRow="0" w:lastRow="0" w:firstColumn="0" w:lastColumn="0" w:oddVBand="0" w:evenVBand="0" w:oddHBand="1" w:evenHBand="0" w:firstRowFirstColumn="0" w:firstRowLastColumn="0" w:lastRowFirstColumn="0" w:lastRowLastColumn="0"/>
            </w:pPr>
            <w:r>
              <w:t>If permissions for the use of 2′-FL in combination with other non-digestible oligosaccharides is sought, then an application can be made to FSANZ.</w:t>
            </w:r>
          </w:p>
        </w:tc>
      </w:tr>
      <w:tr w:rsidR="000B74E8" w:rsidRPr="006C6A6B" w14:paraId="37476DC6"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4DFE904" w14:textId="77777777" w:rsidR="000B74E8" w:rsidRPr="006C6A6B" w:rsidRDefault="000B74E8" w:rsidP="00CB18A8">
            <w:pPr>
              <w:pStyle w:val="ListParagraph"/>
              <w:keepNext/>
              <w:spacing w:before="120" w:after="120"/>
              <w:ind w:left="360"/>
              <w:contextualSpacing w:val="0"/>
              <w:rPr>
                <w:iCs/>
              </w:rPr>
            </w:pPr>
          </w:p>
        </w:tc>
        <w:tc>
          <w:tcPr>
            <w:tcW w:w="13430" w:type="dxa"/>
            <w:gridSpan w:val="3"/>
          </w:tcPr>
          <w:p w14:paraId="2CFB1453" w14:textId="3B609850" w:rsidR="000B74E8" w:rsidRPr="006C6A6B" w:rsidRDefault="000B74E8" w:rsidP="00CB18A8">
            <w:pPr>
              <w:pStyle w:val="FSTableHeading"/>
              <w:keepNext/>
              <w:spacing w:before="120" w:after="120"/>
              <w:cnfStyle w:val="000000000000" w:firstRow="0" w:lastRow="0" w:firstColumn="0" w:lastColumn="0" w:oddVBand="0" w:evenVBand="0" w:oddHBand="0" w:evenHBand="0" w:firstRowFirstColumn="0" w:firstRowLastColumn="0" w:lastRowFirstColumn="0" w:lastRowLastColumn="0"/>
            </w:pPr>
            <w:r w:rsidRPr="0058423E">
              <w:rPr>
                <w:sz w:val="24"/>
              </w:rPr>
              <w:t xml:space="preserve">Impacts on </w:t>
            </w:r>
            <w:r w:rsidR="002A7E9B">
              <w:rPr>
                <w:sz w:val="24"/>
              </w:rPr>
              <w:t>i</w:t>
            </w:r>
            <w:r w:rsidRPr="0058423E">
              <w:rPr>
                <w:sz w:val="24"/>
              </w:rPr>
              <w:t xml:space="preserve">nternational </w:t>
            </w:r>
            <w:r w:rsidR="002A7E9B">
              <w:rPr>
                <w:sz w:val="24"/>
              </w:rPr>
              <w:t>h</w:t>
            </w:r>
            <w:r w:rsidRPr="0058423E">
              <w:rPr>
                <w:sz w:val="24"/>
              </w:rPr>
              <w:t>armonisation and trade</w:t>
            </w:r>
          </w:p>
        </w:tc>
      </w:tr>
      <w:tr w:rsidR="000B74E8" w:rsidRPr="006C6A6B" w14:paraId="2ED48FC0"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A4B128E" w14:textId="77777777" w:rsidR="000B74E8" w:rsidRPr="006C6A6B" w:rsidRDefault="000B74E8" w:rsidP="00B909CA">
            <w:pPr>
              <w:pStyle w:val="ListParagraph"/>
              <w:widowControl/>
              <w:numPr>
                <w:ilvl w:val="0"/>
                <w:numId w:val="28"/>
              </w:numPr>
              <w:spacing w:before="120" w:after="120"/>
              <w:contextualSpacing w:val="0"/>
              <w:jc w:val="center"/>
              <w:rPr>
                <w:iCs/>
              </w:rPr>
            </w:pPr>
          </w:p>
        </w:tc>
        <w:tc>
          <w:tcPr>
            <w:tcW w:w="5608" w:type="dxa"/>
          </w:tcPr>
          <w:p w14:paraId="3D13B252" w14:textId="26A97CDF" w:rsidR="000B74E8" w:rsidRPr="006C6A6B" w:rsidRDefault="00CB0DA3" w:rsidP="00B909CA">
            <w:pPr>
              <w:spacing w:before="120" w:after="120"/>
              <w:cnfStyle w:val="000000100000" w:firstRow="0" w:lastRow="0" w:firstColumn="0" w:lastColumn="0" w:oddVBand="0" w:evenVBand="0" w:oddHBand="1" w:evenHBand="0" w:firstRowFirstColumn="0" w:firstRowLastColumn="0" w:lastRowFirstColumn="0" w:lastRowLastColumn="0"/>
            </w:pPr>
            <w:r>
              <w:t xml:space="preserve">Several submitters noted that </w:t>
            </w:r>
            <w:r w:rsidR="000B74E8" w:rsidRPr="006C6A6B">
              <w:t xml:space="preserve">2’FL is permitted in FSFYC </w:t>
            </w:r>
            <w:r>
              <w:t>(</w:t>
            </w:r>
            <w:r w:rsidR="000B74E8" w:rsidRPr="006C6A6B">
              <w:t>toddler milks</w:t>
            </w:r>
            <w:r>
              <w:t>)</w:t>
            </w:r>
            <w:r w:rsidR="000B74E8" w:rsidRPr="006C6A6B">
              <w:t xml:space="preserve"> in many other countries. Harmonisation with international standards, that are based on relevant science and scientific expert opinion, is essential. </w:t>
            </w:r>
          </w:p>
          <w:p w14:paraId="254983A3" w14:textId="0553F7D9" w:rsidR="000B74E8" w:rsidRPr="00AD77B5" w:rsidRDefault="00CB0DA3" w:rsidP="008A70D2">
            <w:pPr>
              <w:spacing w:before="120" w:after="120"/>
              <w:cnfStyle w:val="000000100000" w:firstRow="0" w:lastRow="0" w:firstColumn="0" w:lastColumn="0" w:oddVBand="0" w:evenVBand="0" w:oddHBand="1" w:evenHBand="0" w:firstRowFirstColumn="0" w:firstRowLastColumn="0" w:lastRowFirstColumn="0" w:lastRowLastColumn="0"/>
            </w:pPr>
            <w:r>
              <w:t xml:space="preserve">It was stated that </w:t>
            </w:r>
            <w:r w:rsidR="000B74E8" w:rsidRPr="006C6A6B">
              <w:t>Australia and New Zealand</w:t>
            </w:r>
            <w:r>
              <w:t xml:space="preserve"> industry</w:t>
            </w:r>
            <w:r w:rsidR="000B74E8" w:rsidRPr="006C6A6B">
              <w:t xml:space="preserve"> will be at a competitive disadvantage with its international competitors, leading to substantial, negative flow-on effects in trade</w:t>
            </w:r>
            <w:r w:rsidR="007C2272">
              <w:t>.</w:t>
            </w:r>
          </w:p>
        </w:tc>
        <w:tc>
          <w:tcPr>
            <w:tcW w:w="1480" w:type="dxa"/>
          </w:tcPr>
          <w:p w14:paraId="0553C5A7" w14:textId="77777777" w:rsidR="007D231D" w:rsidRPr="006C6A6B" w:rsidRDefault="007D231D" w:rsidP="007D231D">
            <w:pPr>
              <w:spacing w:before="120" w:after="120"/>
              <w:cnfStyle w:val="000000100000" w:firstRow="0" w:lastRow="0" w:firstColumn="0" w:lastColumn="0" w:oddVBand="0" w:evenVBand="0" w:oddHBand="1" w:evenHBand="0" w:firstRowFirstColumn="0" w:firstRowLastColumn="0" w:lastRowFirstColumn="0" w:lastRowLastColumn="0"/>
            </w:pPr>
            <w:r>
              <w:t>Nestlé</w:t>
            </w:r>
          </w:p>
          <w:p w14:paraId="1D514B93" w14:textId="5036107B" w:rsidR="002A7E9B" w:rsidRDefault="000B74E8" w:rsidP="007D231D">
            <w:pPr>
              <w:spacing w:before="120" w:after="120"/>
              <w:cnfStyle w:val="000000100000" w:firstRow="0" w:lastRow="0" w:firstColumn="0" w:lastColumn="0" w:oddVBand="0" w:evenVBand="0" w:oddHBand="1" w:evenHBand="0" w:firstRowFirstColumn="0" w:firstRowLastColumn="0" w:lastRowFirstColumn="0" w:lastRowLastColumn="0"/>
            </w:pPr>
            <w:r w:rsidRPr="006C6A6B">
              <w:t>NZFS</w:t>
            </w:r>
          </w:p>
          <w:p w14:paraId="5CB35D05" w14:textId="2B737ABE" w:rsidR="002A7E9B" w:rsidRDefault="000B74E8" w:rsidP="00CB0DA3">
            <w:pPr>
              <w:spacing w:before="120" w:after="120"/>
              <w:cnfStyle w:val="000000100000" w:firstRow="0" w:lastRow="0" w:firstColumn="0" w:lastColumn="0" w:oddVBand="0" w:evenVBand="0" w:oddHBand="1" w:evenHBand="0" w:firstRowFirstColumn="0" w:firstRowLastColumn="0" w:lastRowFirstColumn="0" w:lastRowLastColumn="0"/>
            </w:pPr>
            <w:r w:rsidRPr="006C6A6B">
              <w:t>INC</w:t>
            </w:r>
          </w:p>
          <w:p w14:paraId="0838A34B" w14:textId="781F83C7" w:rsidR="006B74B5" w:rsidRDefault="006B74B5" w:rsidP="00CB0DA3">
            <w:pPr>
              <w:spacing w:before="120" w:after="120"/>
              <w:cnfStyle w:val="000000100000" w:firstRow="0" w:lastRow="0" w:firstColumn="0" w:lastColumn="0" w:oddVBand="0" w:evenVBand="0" w:oddHBand="1" w:evenHBand="0" w:firstRowFirstColumn="0" w:firstRowLastColumn="0" w:lastRowFirstColumn="0" w:lastRowLastColumn="0"/>
            </w:pPr>
            <w:r>
              <w:t>DGC</w:t>
            </w:r>
          </w:p>
          <w:p w14:paraId="5A4AB970" w14:textId="5EC46A2C" w:rsidR="002A7E9B" w:rsidRDefault="000B74E8" w:rsidP="007706A1">
            <w:pPr>
              <w:spacing w:before="120" w:after="120"/>
              <w:cnfStyle w:val="000000100000" w:firstRow="0" w:lastRow="0" w:firstColumn="0" w:lastColumn="0" w:oddVBand="0" w:evenVBand="0" w:oddHBand="1" w:evenHBand="0" w:firstRowFirstColumn="0" w:firstRowLastColumn="0" w:lastRowFirstColumn="0" w:lastRowLastColumn="0"/>
            </w:pPr>
            <w:r w:rsidRPr="006C6A6B">
              <w:t xml:space="preserve">Fonterra </w:t>
            </w:r>
          </w:p>
          <w:p w14:paraId="22B7F7C5" w14:textId="389244F9" w:rsidR="002A7E9B" w:rsidRDefault="000B74E8" w:rsidP="00C41213">
            <w:pPr>
              <w:spacing w:before="120" w:after="120"/>
              <w:cnfStyle w:val="000000100000" w:firstRow="0" w:lastRow="0" w:firstColumn="0" w:lastColumn="0" w:oddVBand="0" w:evenVBand="0" w:oddHBand="1" w:evenHBand="0" w:firstRowFirstColumn="0" w:firstRowLastColumn="0" w:lastRowFirstColumn="0" w:lastRowLastColumn="0"/>
            </w:pPr>
            <w:r w:rsidRPr="006C6A6B">
              <w:t xml:space="preserve">Nutricia </w:t>
            </w:r>
          </w:p>
          <w:p w14:paraId="104BC063" w14:textId="6EA74967" w:rsidR="000B74E8" w:rsidRPr="006C6A6B" w:rsidRDefault="000B74E8">
            <w:pPr>
              <w:spacing w:before="120" w:after="120"/>
              <w:cnfStyle w:val="000000100000" w:firstRow="0" w:lastRow="0" w:firstColumn="0" w:lastColumn="0" w:oddVBand="0" w:evenVBand="0" w:oddHBand="1" w:evenHBand="0" w:firstRowFirstColumn="0" w:firstRowLastColumn="0" w:lastRowFirstColumn="0" w:lastRowLastColumn="0"/>
            </w:pPr>
            <w:r w:rsidRPr="006C6A6B">
              <w:t>AFGC</w:t>
            </w:r>
          </w:p>
        </w:tc>
        <w:tc>
          <w:tcPr>
            <w:tcW w:w="6342" w:type="dxa"/>
          </w:tcPr>
          <w:p w14:paraId="5D2D5D7D" w14:textId="77777777" w:rsidR="008107F6" w:rsidRDefault="008107F6" w:rsidP="00B909CA">
            <w:pPr>
              <w:pStyle w:val="FSCtMain"/>
              <w:ind w:left="0" w:firstLine="0"/>
              <w:cnfStyle w:val="000000100000" w:firstRow="0" w:lastRow="0" w:firstColumn="0" w:lastColumn="0" w:oddVBand="0" w:evenVBand="0" w:oddHBand="1" w:evenHBand="0" w:firstRowFirstColumn="0" w:firstRowLastColumn="0" w:lastRowFirstColumn="0" w:lastRowLastColumn="0"/>
            </w:pPr>
            <w:r>
              <w:t>FSANZ notes this comment</w:t>
            </w:r>
            <w:r w:rsidRPr="008107F6">
              <w:t xml:space="preserve">. </w:t>
            </w:r>
          </w:p>
          <w:p w14:paraId="4C8F1402" w14:textId="062304B4" w:rsidR="000B74E8" w:rsidRPr="006C6A6B" w:rsidRDefault="008107F6" w:rsidP="008A70D2">
            <w:pPr>
              <w:pStyle w:val="FSCtMain"/>
              <w:ind w:left="0" w:firstLine="0"/>
              <w:cnfStyle w:val="000000100000" w:firstRow="0" w:lastRow="0" w:firstColumn="0" w:lastColumn="0" w:oddVBand="0" w:evenVBand="0" w:oddHBand="1" w:evenHBand="0" w:firstRowFirstColumn="0" w:firstRowLastColumn="0" w:lastRowFirstColumn="0" w:lastRowLastColumn="0"/>
            </w:pPr>
            <w:r w:rsidRPr="008107F6">
              <w:t xml:space="preserve">In making its decision, FSANZ had regard to international standards and to the question of consistency between domestic and international food standards. See </w:t>
            </w:r>
            <w:r w:rsidR="00B05F7E">
              <w:t>Section</w:t>
            </w:r>
            <w:r w:rsidRPr="008107F6">
              <w:t xml:space="preserve"> </w:t>
            </w:r>
            <w:r w:rsidR="00F42576">
              <w:t>5.3</w:t>
            </w:r>
            <w:r w:rsidRPr="008107F6">
              <w:t xml:space="preserve"> of this report</w:t>
            </w:r>
            <w:r w:rsidR="00F42576">
              <w:t>.</w:t>
            </w:r>
            <w:r w:rsidRPr="006C6A6B">
              <w:t xml:space="preserve"> </w:t>
            </w:r>
          </w:p>
          <w:p w14:paraId="0C461947" w14:textId="68625650" w:rsidR="000B74E8" w:rsidRPr="006C6A6B" w:rsidRDefault="00CB0DA3" w:rsidP="00B909CA">
            <w:pPr>
              <w:spacing w:before="120" w:after="120"/>
              <w:cnfStyle w:val="000000100000" w:firstRow="0" w:lastRow="0" w:firstColumn="0" w:lastColumn="0" w:oddVBand="0" w:evenVBand="0" w:oddHBand="1" w:evenHBand="0" w:firstRowFirstColumn="0" w:firstRowLastColumn="0" w:lastRowFirstColumn="0" w:lastRowLastColumn="0"/>
            </w:pPr>
            <w:r>
              <w:t>FSANZ’s decision is</w:t>
            </w:r>
            <w:r w:rsidR="000B74E8" w:rsidRPr="006C6A6B">
              <w:t xml:space="preserve"> deregulatory in nature and do</w:t>
            </w:r>
            <w:r>
              <w:t>es</w:t>
            </w:r>
            <w:r w:rsidR="000B74E8" w:rsidRPr="006C6A6B">
              <w:t xml:space="preserve"> not impose any new requirements on industry compared to the </w:t>
            </w:r>
            <w:r>
              <w:t>s</w:t>
            </w:r>
            <w:r w:rsidR="000B74E8" w:rsidRPr="006C6A6B">
              <w:t xml:space="preserve">tatus </w:t>
            </w:r>
            <w:r>
              <w:t>q</w:t>
            </w:r>
            <w:r w:rsidR="000B74E8" w:rsidRPr="006C6A6B">
              <w:t>uo.</w:t>
            </w:r>
          </w:p>
          <w:p w14:paraId="3D2AD25A" w14:textId="2FD6828E" w:rsidR="000B74E8" w:rsidRPr="006C6A6B" w:rsidRDefault="00A34981" w:rsidP="00F42576">
            <w:pPr>
              <w:spacing w:before="120" w:after="120"/>
              <w:cnfStyle w:val="000000100000" w:firstRow="0" w:lastRow="0" w:firstColumn="0" w:lastColumn="0" w:oddVBand="0" w:evenVBand="0" w:oddHBand="1" w:evenHBand="0" w:firstRowFirstColumn="0" w:firstRowLastColumn="0" w:lastRowFirstColumn="0" w:lastRowLastColumn="0"/>
            </w:pPr>
            <w:r>
              <w:t xml:space="preserve">Within the domestic market, FSANZ notes that </w:t>
            </w:r>
            <w:r w:rsidR="000B74E8" w:rsidRPr="006C6A6B">
              <w:t xml:space="preserve">FSFYC </w:t>
            </w:r>
            <w:r>
              <w:t>will continue to</w:t>
            </w:r>
            <w:r w:rsidR="000B74E8" w:rsidRPr="006C6A6B">
              <w:t xml:space="preserve"> be traded as they are currently. The addition of 2′-FL will be permitted in IFP, which will promote a competitive food industry for relevant products.</w:t>
            </w:r>
          </w:p>
        </w:tc>
      </w:tr>
      <w:tr w:rsidR="000B74E8" w:rsidRPr="006C6A6B" w14:paraId="37E438DB"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2B9B9669" w14:textId="77777777" w:rsidR="000B74E8" w:rsidRPr="006C6A6B" w:rsidRDefault="000B74E8" w:rsidP="00B909CA">
            <w:pPr>
              <w:spacing w:before="120" w:after="120"/>
            </w:pPr>
          </w:p>
        </w:tc>
        <w:tc>
          <w:tcPr>
            <w:tcW w:w="13430" w:type="dxa"/>
            <w:gridSpan w:val="3"/>
          </w:tcPr>
          <w:p w14:paraId="0AE615EF" w14:textId="54A373E4" w:rsidR="000B74E8" w:rsidRPr="006C6A6B" w:rsidRDefault="00032093" w:rsidP="00B909CA">
            <w:pPr>
              <w:pStyle w:val="FSTableHeading"/>
              <w:spacing w:before="120" w:after="120"/>
              <w:cnfStyle w:val="000000000000" w:firstRow="0" w:lastRow="0" w:firstColumn="0" w:lastColumn="0" w:oddVBand="0" w:evenVBand="0" w:oddHBand="0" w:evenHBand="0" w:firstRowFirstColumn="0" w:firstRowLastColumn="0" w:lastRowFirstColumn="0" w:lastRowLastColumn="0"/>
            </w:pPr>
            <w:r>
              <w:rPr>
                <w:sz w:val="24"/>
              </w:rPr>
              <w:t>Impacts on</w:t>
            </w:r>
            <w:r w:rsidR="000B74E8" w:rsidRPr="009531DC">
              <w:rPr>
                <w:sz w:val="24"/>
              </w:rPr>
              <w:t xml:space="preserve"> innovation</w:t>
            </w:r>
          </w:p>
        </w:tc>
      </w:tr>
      <w:tr w:rsidR="000B74E8" w:rsidRPr="006C6A6B" w14:paraId="5E8F3FDF"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9660AE4" w14:textId="77777777" w:rsidR="000B74E8" w:rsidRPr="006C6A6B" w:rsidRDefault="000B74E8" w:rsidP="00B909CA">
            <w:pPr>
              <w:pStyle w:val="ListParagraph"/>
              <w:widowControl/>
              <w:numPr>
                <w:ilvl w:val="0"/>
                <w:numId w:val="28"/>
              </w:numPr>
              <w:spacing w:before="120" w:after="120"/>
              <w:contextualSpacing w:val="0"/>
            </w:pPr>
          </w:p>
        </w:tc>
        <w:tc>
          <w:tcPr>
            <w:tcW w:w="5608" w:type="dxa"/>
          </w:tcPr>
          <w:p w14:paraId="6ABCA4CB" w14:textId="43E902AC" w:rsidR="000B74E8" w:rsidRPr="006C6A6B" w:rsidRDefault="000B74E8" w:rsidP="009531DC">
            <w:pPr>
              <w:spacing w:before="120" w:after="120"/>
              <w:cnfStyle w:val="000000100000" w:firstRow="0" w:lastRow="0" w:firstColumn="0" w:lastColumn="0" w:oddVBand="0" w:evenVBand="0" w:oddHBand="1" w:evenHBand="0" w:firstRowFirstColumn="0" w:firstRowLastColumn="0" w:lastRowFirstColumn="0" w:lastRowLastColumn="0"/>
            </w:pPr>
            <w:r w:rsidRPr="006C6A6B">
              <w:t>Concern</w:t>
            </w:r>
            <w:r w:rsidR="0089681E">
              <w:t xml:space="preserve"> that</w:t>
            </w:r>
            <w:r w:rsidRPr="006C6A6B">
              <w:t xml:space="preserve"> not permit</w:t>
            </w:r>
            <w:r w:rsidR="0089681E">
              <w:t>ting</w:t>
            </w:r>
            <w:r w:rsidRPr="006C6A6B">
              <w:t xml:space="preserve"> 2′-FL in FSFYC will stifle innovation as there is no incentive for industry in Australia and New Zealand to invest in new products. </w:t>
            </w:r>
          </w:p>
        </w:tc>
        <w:tc>
          <w:tcPr>
            <w:tcW w:w="1480" w:type="dxa"/>
          </w:tcPr>
          <w:p w14:paraId="065C3A89" w14:textId="77777777" w:rsidR="0089681E"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INC</w:t>
            </w:r>
          </w:p>
          <w:p w14:paraId="12094AA1" w14:textId="179835AE" w:rsidR="00C82E1D"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Nutricia</w:t>
            </w:r>
          </w:p>
          <w:p w14:paraId="45500836" w14:textId="280E6E7D" w:rsidR="00C82E1D" w:rsidRDefault="00C82E1D" w:rsidP="00B909CA">
            <w:pPr>
              <w:spacing w:before="120" w:after="120"/>
              <w:cnfStyle w:val="000000100000" w:firstRow="0" w:lastRow="0" w:firstColumn="0" w:lastColumn="0" w:oddVBand="0" w:evenVBand="0" w:oddHBand="1" w:evenHBand="0" w:firstRowFirstColumn="0" w:firstRowLastColumn="0" w:lastRowFirstColumn="0" w:lastRowLastColumn="0"/>
            </w:pPr>
            <w:r>
              <w:t>Fonterra</w:t>
            </w:r>
          </w:p>
          <w:p w14:paraId="620AE306" w14:textId="6A259CD2" w:rsidR="000B74E8" w:rsidRPr="006C6A6B"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NZFGC</w:t>
            </w:r>
          </w:p>
        </w:tc>
        <w:tc>
          <w:tcPr>
            <w:tcW w:w="6342" w:type="dxa"/>
          </w:tcPr>
          <w:p w14:paraId="04BEFE36" w14:textId="4EDDEAE3" w:rsidR="0089681E" w:rsidRDefault="000B74E8" w:rsidP="009531DC">
            <w:pPr>
              <w:spacing w:before="120" w:after="120"/>
              <w:cnfStyle w:val="000000100000" w:firstRow="0" w:lastRow="0" w:firstColumn="0" w:lastColumn="0" w:oddVBand="0" w:evenVBand="0" w:oddHBand="1" w:evenHBand="0" w:firstRowFirstColumn="0" w:firstRowLastColumn="0" w:lastRowFirstColumn="0" w:lastRowLastColumn="0"/>
            </w:pPr>
            <w:r w:rsidRPr="006C6A6B">
              <w:t xml:space="preserve">FSANZ </w:t>
            </w:r>
            <w:r w:rsidR="00E63D69">
              <w:t>note</w:t>
            </w:r>
            <w:r w:rsidR="00E63D69" w:rsidRPr="006C6A6B">
              <w:t xml:space="preserve">s </w:t>
            </w:r>
            <w:r w:rsidR="0089681E">
              <w:t>th</w:t>
            </w:r>
            <w:r w:rsidR="00BB688C">
              <w:t>is</w:t>
            </w:r>
            <w:r w:rsidR="0089681E">
              <w:t xml:space="preserve"> comment.</w:t>
            </w:r>
          </w:p>
          <w:p w14:paraId="0F8BF88A" w14:textId="77777777" w:rsidR="006B1D57" w:rsidRDefault="00AD77B5" w:rsidP="007706A1">
            <w:pPr>
              <w:spacing w:before="120" w:after="120"/>
              <w:cnfStyle w:val="000000100000" w:firstRow="0" w:lastRow="0" w:firstColumn="0" w:lastColumn="0" w:oddVBand="0" w:evenVBand="0" w:oddHBand="1" w:evenHBand="0" w:firstRowFirstColumn="0" w:firstRowLastColumn="0" w:lastRowFirstColumn="0" w:lastRowLastColumn="0"/>
              <w:rPr>
                <w:szCs w:val="22"/>
              </w:rPr>
            </w:pPr>
            <w:r>
              <w:t xml:space="preserve">As stated above, FSANZ assessed A1190 in accordance with requirements in the FSANZ Act and its </w:t>
            </w:r>
            <w:r w:rsidRPr="006C6A6B">
              <w:rPr>
                <w:szCs w:val="22"/>
              </w:rPr>
              <w:t xml:space="preserve">decision not to permit 2′-FL in FSFYC </w:t>
            </w:r>
            <w:r>
              <w:rPr>
                <w:szCs w:val="22"/>
              </w:rPr>
              <w:t>is</w:t>
            </w:r>
            <w:r w:rsidRPr="006C6A6B">
              <w:rPr>
                <w:szCs w:val="22"/>
              </w:rPr>
              <w:t xml:space="preserve"> in line with current permissions for 2′-FL in the Code</w:t>
            </w:r>
            <w:r>
              <w:rPr>
                <w:szCs w:val="22"/>
              </w:rPr>
              <w:t>.</w:t>
            </w:r>
          </w:p>
          <w:p w14:paraId="56B450DE" w14:textId="675F6B03" w:rsidR="000B74E8" w:rsidRPr="006C6A6B" w:rsidRDefault="006B1D57" w:rsidP="007706A1">
            <w:pPr>
              <w:spacing w:before="120" w:after="120"/>
              <w:cnfStyle w:val="000000100000" w:firstRow="0" w:lastRow="0" w:firstColumn="0" w:lastColumn="0" w:oddVBand="0" w:evenVBand="0" w:oddHBand="1" w:evenHBand="0" w:firstRowFirstColumn="0" w:firstRowLastColumn="0" w:lastRowFirstColumn="0" w:lastRowLastColumn="0"/>
            </w:pPr>
            <w:r>
              <w:t>However, incentives to industry in Australia and New Zealand to invest in new products is a broader issue which is outside the scope of A1190</w:t>
            </w:r>
            <w:r w:rsidR="0089681E" w:rsidRPr="006C6A6B">
              <w:rPr>
                <w:szCs w:val="22"/>
              </w:rPr>
              <w:t>.</w:t>
            </w:r>
          </w:p>
        </w:tc>
      </w:tr>
      <w:tr w:rsidR="000B74E8" w:rsidRPr="006C6A6B" w14:paraId="357A7B16" w14:textId="77777777" w:rsidTr="000B74E8">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8922514" w14:textId="77777777" w:rsidR="000B74E8" w:rsidRPr="006C6A6B" w:rsidRDefault="000B74E8" w:rsidP="00CB18A8">
            <w:pPr>
              <w:keepNext/>
              <w:spacing w:before="120" w:after="120"/>
            </w:pPr>
          </w:p>
        </w:tc>
        <w:tc>
          <w:tcPr>
            <w:tcW w:w="13430" w:type="dxa"/>
            <w:gridSpan w:val="3"/>
          </w:tcPr>
          <w:p w14:paraId="59A54CA7" w14:textId="77777777" w:rsidR="000B74E8" w:rsidRPr="006C6A6B" w:rsidRDefault="000B74E8" w:rsidP="00CB18A8">
            <w:pPr>
              <w:pStyle w:val="FSTableHeading"/>
              <w:keepNext/>
              <w:spacing w:before="120" w:after="120"/>
              <w:cnfStyle w:val="000000000000" w:firstRow="0" w:lastRow="0" w:firstColumn="0" w:lastColumn="0" w:oddVBand="0" w:evenVBand="0" w:oddHBand="0" w:evenHBand="0" w:firstRowFirstColumn="0" w:firstRowLastColumn="0" w:lastRowFirstColumn="0" w:lastRowLastColumn="0"/>
            </w:pPr>
            <w:r w:rsidRPr="0058423E">
              <w:rPr>
                <w:sz w:val="24"/>
              </w:rPr>
              <w:t>Ministerial Policy Guideline Part 2.9 – Special Purpose Foods</w:t>
            </w:r>
          </w:p>
        </w:tc>
      </w:tr>
      <w:tr w:rsidR="000B74E8" w:rsidRPr="006C6A6B" w14:paraId="15F5C5A3" w14:textId="77777777" w:rsidTr="00CB18A8">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6D0BB5B"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00B06D07" w14:textId="0794FCC7" w:rsidR="000B74E8" w:rsidRPr="006C6A6B" w:rsidRDefault="0089681E" w:rsidP="009531DC">
            <w:pPr>
              <w:spacing w:before="120" w:after="120"/>
              <w:cnfStyle w:val="000000100000" w:firstRow="0" w:lastRow="0" w:firstColumn="0" w:lastColumn="0" w:oddVBand="0" w:evenVBand="0" w:oddHBand="1" w:evenHBand="0" w:firstRowFirstColumn="0" w:firstRowLastColumn="0" w:lastRowFirstColumn="0" w:lastRowLastColumn="0"/>
            </w:pPr>
            <w:r>
              <w:t xml:space="preserve">It was suggested that </w:t>
            </w:r>
            <w:r w:rsidR="000B74E8" w:rsidRPr="006C6A6B">
              <w:t>where oligosaccharides</w:t>
            </w:r>
            <w:r>
              <w:t xml:space="preserve"> are </w:t>
            </w:r>
            <w:r w:rsidR="000B74E8" w:rsidRPr="006C6A6B">
              <w:t>approved for</w:t>
            </w:r>
            <w:r>
              <w:t xml:space="preserve"> use in</w:t>
            </w:r>
            <w:r w:rsidR="000B74E8" w:rsidRPr="006C6A6B">
              <w:t xml:space="preserve"> IFP, these permissions </w:t>
            </w:r>
            <w:r>
              <w:t>should be</w:t>
            </w:r>
            <w:r w:rsidR="000B74E8" w:rsidRPr="006C6A6B">
              <w:t xml:space="preserve"> extended</w:t>
            </w:r>
            <w:r>
              <w:t xml:space="preserve"> to</w:t>
            </w:r>
            <w:r w:rsidR="000B74E8" w:rsidRPr="006C6A6B">
              <w:t xml:space="preserve"> FSFYC. </w:t>
            </w:r>
          </w:p>
        </w:tc>
        <w:tc>
          <w:tcPr>
            <w:tcW w:w="1480" w:type="dxa"/>
          </w:tcPr>
          <w:p w14:paraId="0B53464A" w14:textId="53FAF2D7" w:rsidR="000B74E8" w:rsidRPr="006C6A6B" w:rsidRDefault="007D231D" w:rsidP="00B909CA">
            <w:pPr>
              <w:spacing w:before="120" w:after="120"/>
              <w:cnfStyle w:val="000000100000" w:firstRow="0" w:lastRow="0" w:firstColumn="0" w:lastColumn="0" w:oddVBand="0" w:evenVBand="0" w:oddHBand="1" w:evenHBand="0" w:firstRowFirstColumn="0" w:firstRowLastColumn="0" w:lastRowFirstColumn="0" w:lastRowLastColumn="0"/>
            </w:pPr>
            <w:r>
              <w:t>Nestlé</w:t>
            </w:r>
          </w:p>
        </w:tc>
        <w:tc>
          <w:tcPr>
            <w:tcW w:w="6342" w:type="dxa"/>
          </w:tcPr>
          <w:p w14:paraId="2D2F6768" w14:textId="57FC6B84" w:rsidR="00651AF4" w:rsidRDefault="00651AF4" w:rsidP="009531DC">
            <w:pPr>
              <w:spacing w:before="120" w:after="120"/>
              <w:cnfStyle w:val="000000100000" w:firstRow="0" w:lastRow="0" w:firstColumn="0" w:lastColumn="0" w:oddVBand="0" w:evenVBand="0" w:oddHBand="1" w:evenHBand="0" w:firstRowFirstColumn="0" w:firstRowLastColumn="0" w:lastRowFirstColumn="0" w:lastRowLastColumn="0"/>
            </w:pPr>
            <w:r>
              <w:t>FSANZ</w:t>
            </w:r>
            <w:r w:rsidR="00C33391">
              <w:t xml:space="preserve"> notes </w:t>
            </w:r>
            <w:r>
              <w:t>this comment</w:t>
            </w:r>
            <w:r w:rsidR="00C33391">
              <w:t>.</w:t>
            </w:r>
          </w:p>
          <w:p w14:paraId="7EA75CF7" w14:textId="48A231A8" w:rsidR="003434DB" w:rsidRDefault="003434DB" w:rsidP="003434DB">
            <w:pPr>
              <w:spacing w:before="120" w:after="120"/>
              <w:cnfStyle w:val="000000100000" w:firstRow="0" w:lastRow="0" w:firstColumn="0" w:lastColumn="0" w:oddVBand="0" w:evenVBand="0" w:oddHBand="1" w:evenHBand="0" w:firstRowFirstColumn="0" w:firstRowLastColumn="0" w:lastRowFirstColumn="0" w:lastRowLastColumn="0"/>
              <w:rPr>
                <w:sz w:val="20"/>
                <w:szCs w:val="20"/>
              </w:rPr>
            </w:pPr>
            <w:r>
              <w:t>Substances used as a nutritive substance must (among other things) be added to food</w:t>
            </w:r>
            <w:r w:rsidRPr="00C33391">
              <w:rPr>
                <w:sz w:val="24"/>
              </w:rPr>
              <w:t xml:space="preserve"> </w:t>
            </w:r>
            <w:r w:rsidRPr="00C33391">
              <w:rPr>
                <w:szCs w:val="20"/>
              </w:rPr>
              <w:t>to achieve a nutritional purpose.</w:t>
            </w:r>
          </w:p>
          <w:p w14:paraId="218C919F" w14:textId="67A950C6" w:rsidR="00C35F83" w:rsidRDefault="00651AF4" w:rsidP="009531DC">
            <w:pPr>
              <w:spacing w:before="120" w:after="120"/>
              <w:cnfStyle w:val="000000100000" w:firstRow="0" w:lastRow="0" w:firstColumn="0" w:lastColumn="0" w:oddVBand="0" w:evenVBand="0" w:oddHBand="1" w:evenHBand="0" w:firstRowFirstColumn="0" w:firstRowLastColumn="0" w:lastRowFirstColumn="0" w:lastRowLastColumn="0"/>
            </w:pPr>
            <w:r>
              <w:t>T</w:t>
            </w:r>
            <w:r w:rsidR="00C35F83">
              <w:t xml:space="preserve">he intended </w:t>
            </w:r>
            <w:r w:rsidR="00915373">
              <w:t xml:space="preserve">nutritional </w:t>
            </w:r>
            <w:r w:rsidR="00C35F83">
              <w:t>purpose</w:t>
            </w:r>
            <w:r w:rsidR="00915373">
              <w:t>s</w:t>
            </w:r>
            <w:r w:rsidR="00C35F83">
              <w:t xml:space="preserve"> </w:t>
            </w:r>
            <w:r w:rsidR="00915373">
              <w:t xml:space="preserve">for </w:t>
            </w:r>
            <w:r w:rsidR="00C35F83">
              <w:t xml:space="preserve">IFP and FSFYC are different. </w:t>
            </w:r>
            <w:r w:rsidR="000B74E8" w:rsidRPr="006C6A6B">
              <w:t xml:space="preserve">IFP </w:t>
            </w:r>
            <w:r w:rsidR="00C35F83">
              <w:t xml:space="preserve">are used as the sole or principal source of nutrition up to 12 months of age. </w:t>
            </w:r>
            <w:r w:rsidR="00C35F83" w:rsidRPr="006C6A6B">
              <w:t>FSFYC are</w:t>
            </w:r>
            <w:r w:rsidR="00C35F83">
              <w:t xml:space="preserve"> suitable</w:t>
            </w:r>
            <w:r w:rsidR="00C35F83" w:rsidRPr="006C6A6B">
              <w:t xml:space="preserve"> </w:t>
            </w:r>
            <w:r w:rsidR="00C35F83">
              <w:t>for</w:t>
            </w:r>
            <w:r w:rsidR="00C35F83" w:rsidRPr="006C6A6B">
              <w:t xml:space="preserve"> supplement</w:t>
            </w:r>
            <w:r w:rsidR="00C35F83">
              <w:t>ing</w:t>
            </w:r>
            <w:r w:rsidR="00C35F83" w:rsidRPr="006C6A6B">
              <w:t xml:space="preserve"> the diets of young children where intakes of energy and nutrients may not be adequate to meet a child’s requirements</w:t>
            </w:r>
            <w:r w:rsidR="00C35F83">
              <w:t>.</w:t>
            </w:r>
          </w:p>
          <w:p w14:paraId="14BC46D3" w14:textId="4549A0D6" w:rsidR="000B74E8" w:rsidRPr="006C6A6B" w:rsidRDefault="00915373" w:rsidP="009531DC">
            <w:pPr>
              <w:spacing w:before="120" w:after="120"/>
              <w:cnfStyle w:val="000000100000" w:firstRow="0" w:lastRow="0" w:firstColumn="0" w:lastColumn="0" w:oddVBand="0" w:evenVBand="0" w:oddHBand="1" w:evenHBand="0" w:firstRowFirstColumn="0" w:firstRowLastColumn="0" w:lastRowFirstColumn="0" w:lastRowLastColumn="0"/>
            </w:pPr>
            <w:r>
              <w:t>As such, the consumer groups, dietary needs and related risks for IFP and FSFYC are different.</w:t>
            </w:r>
            <w:r w:rsidR="008A5AFD">
              <w:t xml:space="preserve"> </w:t>
            </w:r>
            <w:r w:rsidR="00C35F83">
              <w:t xml:space="preserve">Therefore, under FSANZ’s regulatory framework, </w:t>
            </w:r>
            <w:r>
              <w:t xml:space="preserve">FSANZ considers </w:t>
            </w:r>
            <w:r w:rsidR="00C35F83">
              <w:t xml:space="preserve">it is not appropriate to </w:t>
            </w:r>
            <w:r w:rsidR="00C35F83" w:rsidRPr="008A5AFD">
              <w:rPr>
                <w:i/>
              </w:rPr>
              <w:t>automatically</w:t>
            </w:r>
            <w:r w:rsidR="00C35F83">
              <w:t xml:space="preserve"> extend permissions as suggested in </w:t>
            </w:r>
            <w:r w:rsidR="00CF3E61">
              <w:t xml:space="preserve">the </w:t>
            </w:r>
            <w:r w:rsidR="00C35F83">
              <w:t xml:space="preserve">submission. </w:t>
            </w:r>
          </w:p>
        </w:tc>
      </w:tr>
      <w:tr w:rsidR="000B74E8" w:rsidRPr="006C6A6B" w14:paraId="4020B697" w14:textId="77777777" w:rsidTr="00DA0DBB">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0ABCA28" w14:textId="77777777" w:rsidR="000B74E8" w:rsidRPr="006C6A6B" w:rsidRDefault="000B74E8" w:rsidP="00B909CA">
            <w:pPr>
              <w:pStyle w:val="ListParagraph"/>
              <w:widowControl/>
              <w:numPr>
                <w:ilvl w:val="0"/>
                <w:numId w:val="28"/>
              </w:numPr>
              <w:spacing w:before="120" w:after="120"/>
              <w:contextualSpacing w:val="0"/>
              <w:jc w:val="center"/>
            </w:pPr>
          </w:p>
        </w:tc>
        <w:tc>
          <w:tcPr>
            <w:tcW w:w="5608" w:type="dxa"/>
          </w:tcPr>
          <w:p w14:paraId="29772AC0" w14:textId="4B85D2CE" w:rsidR="000B74E8" w:rsidRDefault="009531DC" w:rsidP="00B909CA">
            <w:pPr>
              <w:spacing w:before="120" w:after="120"/>
              <w:cnfStyle w:val="000000000000" w:firstRow="0" w:lastRow="0" w:firstColumn="0" w:lastColumn="0" w:oddVBand="0" w:evenVBand="0" w:oddHBand="0" w:evenHBand="0" w:firstRowFirstColumn="0" w:firstRowLastColumn="0" w:lastRowFirstColumn="0" w:lastRowLastColumn="0"/>
            </w:pPr>
            <w:r>
              <w:t>It was the views of some submitters that</w:t>
            </w:r>
            <w:r w:rsidR="000B74E8" w:rsidRPr="006C6A6B">
              <w:t xml:space="preserve"> for an ingredient to align with current ministerial policy guidelines there must be 1) a risk of dietary inadequacy and 2) physiological need.</w:t>
            </w:r>
          </w:p>
          <w:p w14:paraId="6BC14537" w14:textId="2C115D15" w:rsidR="000B74E8" w:rsidRDefault="009531DC" w:rsidP="00B909CA">
            <w:pPr>
              <w:spacing w:before="120" w:after="120"/>
              <w:cnfStyle w:val="000000000000" w:firstRow="0" w:lastRow="0" w:firstColumn="0" w:lastColumn="0" w:oddVBand="0" w:evenVBand="0" w:oddHBand="0" w:evenHBand="0" w:firstRowFirstColumn="0" w:firstRowLastColumn="0" w:lastRowFirstColumn="0" w:lastRowLastColumn="0"/>
            </w:pPr>
            <w:r>
              <w:t xml:space="preserve">Based on this, references were provided to suggest </w:t>
            </w:r>
            <w:r w:rsidR="000B74E8" w:rsidRPr="006C6A6B">
              <w:t xml:space="preserve">there is </w:t>
            </w:r>
            <w:r w:rsidR="00032093" w:rsidRPr="006C6A6B">
              <w:t xml:space="preserve">evidence </w:t>
            </w:r>
            <w:r w:rsidR="00032093">
              <w:t xml:space="preserve">of </w:t>
            </w:r>
            <w:r w:rsidR="000B74E8" w:rsidRPr="006C6A6B">
              <w:t>increasing risk of dietary inadequacy in young children in Australia and New Zealand</w:t>
            </w:r>
            <w:r>
              <w:t xml:space="preserve">. Those young children at risk would </w:t>
            </w:r>
            <w:r w:rsidR="000B74E8" w:rsidRPr="006C6A6B">
              <w:t>benefit from FSFYC</w:t>
            </w:r>
            <w:r>
              <w:t xml:space="preserve"> with </w:t>
            </w:r>
            <w:r w:rsidR="000B74E8" w:rsidRPr="006C6A6B">
              <w:t xml:space="preserve">2′-FL </w:t>
            </w:r>
            <w:r>
              <w:t>added.</w:t>
            </w:r>
          </w:p>
          <w:p w14:paraId="708936C1" w14:textId="1169DA75" w:rsidR="000B74E8" w:rsidRPr="006C6A6B" w:rsidRDefault="00032093" w:rsidP="00CB18A8">
            <w:pPr>
              <w:spacing w:before="120" w:after="120"/>
              <w:cnfStyle w:val="000000000000" w:firstRow="0" w:lastRow="0" w:firstColumn="0" w:lastColumn="0" w:oddVBand="0" w:evenVBand="0" w:oddHBand="0" w:evenHBand="0" w:firstRowFirstColumn="0" w:firstRowLastColumn="0" w:lastRowFirstColumn="0" w:lastRowLastColumn="0"/>
            </w:pPr>
            <w:r>
              <w:t xml:space="preserve">It was also highlighted that </w:t>
            </w:r>
            <w:r w:rsidR="000B74E8" w:rsidRPr="006C6A6B">
              <w:t>oligosaccharides are found in a</w:t>
            </w:r>
            <w:r w:rsidR="00CB18A8">
              <w:t xml:space="preserve"> wide variety of mammalian milk.</w:t>
            </w:r>
          </w:p>
        </w:tc>
        <w:tc>
          <w:tcPr>
            <w:tcW w:w="1480" w:type="dxa"/>
          </w:tcPr>
          <w:p w14:paraId="72CC6849" w14:textId="00886E23" w:rsidR="00032093" w:rsidRDefault="000B74E8" w:rsidP="007706A1">
            <w:pPr>
              <w:spacing w:before="120" w:after="120"/>
              <w:cnfStyle w:val="000000000000" w:firstRow="0" w:lastRow="0" w:firstColumn="0" w:lastColumn="0" w:oddVBand="0" w:evenVBand="0" w:oddHBand="0" w:evenHBand="0" w:firstRowFirstColumn="0" w:firstRowLastColumn="0" w:lastRowFirstColumn="0" w:lastRowLastColumn="0"/>
            </w:pPr>
            <w:r w:rsidRPr="006C6A6B">
              <w:t>INC</w:t>
            </w:r>
          </w:p>
          <w:p w14:paraId="001D5330" w14:textId="77777777" w:rsidR="004066E7" w:rsidRPr="006C6A6B" w:rsidRDefault="004066E7" w:rsidP="004066E7">
            <w:pPr>
              <w:spacing w:before="120" w:after="120"/>
              <w:cnfStyle w:val="000000000000" w:firstRow="0" w:lastRow="0" w:firstColumn="0" w:lastColumn="0" w:oddVBand="0" w:evenVBand="0" w:oddHBand="0" w:evenHBand="0" w:firstRowFirstColumn="0" w:firstRowLastColumn="0" w:lastRowFirstColumn="0" w:lastRowLastColumn="0"/>
            </w:pPr>
            <w:r>
              <w:t>Nestlé</w:t>
            </w:r>
          </w:p>
          <w:p w14:paraId="5B0690E8" w14:textId="18FEC020" w:rsidR="000B74E8" w:rsidRPr="006C6A6B" w:rsidRDefault="000B74E8" w:rsidP="00C41213">
            <w:pPr>
              <w:spacing w:before="120" w:after="120"/>
              <w:cnfStyle w:val="000000000000" w:firstRow="0" w:lastRow="0" w:firstColumn="0" w:lastColumn="0" w:oddVBand="0" w:evenVBand="0" w:oddHBand="0" w:evenHBand="0" w:firstRowFirstColumn="0" w:firstRowLastColumn="0" w:lastRowFirstColumn="0" w:lastRowLastColumn="0"/>
            </w:pPr>
          </w:p>
        </w:tc>
        <w:tc>
          <w:tcPr>
            <w:tcW w:w="6342" w:type="dxa"/>
          </w:tcPr>
          <w:p w14:paraId="0E08AA95" w14:textId="1025BD0E" w:rsidR="00032093" w:rsidRDefault="00032093" w:rsidP="00032093">
            <w:pPr>
              <w:spacing w:before="120" w:after="120"/>
              <w:cnfStyle w:val="000000000000" w:firstRow="0" w:lastRow="0" w:firstColumn="0" w:lastColumn="0" w:oddVBand="0" w:evenVBand="0" w:oddHBand="0" w:evenHBand="0" w:firstRowFirstColumn="0" w:firstRowLastColumn="0" w:lastRowFirstColumn="0" w:lastRowLastColumn="0"/>
            </w:pPr>
            <w:r w:rsidRPr="006C6A6B">
              <w:t xml:space="preserve">FSANZ </w:t>
            </w:r>
            <w:r w:rsidR="0079475B">
              <w:t>note</w:t>
            </w:r>
            <w:r w:rsidR="0079475B" w:rsidRPr="006C6A6B">
              <w:t xml:space="preserve">s </w:t>
            </w:r>
            <w:r>
              <w:t>the comments</w:t>
            </w:r>
            <w:r w:rsidR="00BB688C">
              <w:t>.</w:t>
            </w:r>
          </w:p>
          <w:p w14:paraId="2C5A4AFD" w14:textId="3B33C8D9" w:rsidR="00032093" w:rsidRDefault="006B1D57" w:rsidP="00032093">
            <w:pPr>
              <w:spacing w:before="120" w:after="120"/>
              <w:cnfStyle w:val="000000000000" w:firstRow="0" w:lastRow="0" w:firstColumn="0" w:lastColumn="0" w:oddVBand="0" w:evenVBand="0" w:oddHBand="0" w:evenHBand="0" w:firstRowFirstColumn="0" w:firstRowLastColumn="0" w:lastRowFirstColumn="0" w:lastRowLastColumn="0"/>
            </w:pPr>
            <w:r>
              <w:t xml:space="preserve">As stated above, FSANZ assessed A1190 in accordance with requirements in the FSANZ Act and its </w:t>
            </w:r>
            <w:r w:rsidRPr="006C6A6B">
              <w:rPr>
                <w:szCs w:val="22"/>
              </w:rPr>
              <w:t xml:space="preserve">decision not to permit 2′-FL in FSFYC </w:t>
            </w:r>
            <w:r>
              <w:rPr>
                <w:szCs w:val="22"/>
              </w:rPr>
              <w:t>is</w:t>
            </w:r>
            <w:r w:rsidRPr="006C6A6B">
              <w:rPr>
                <w:szCs w:val="22"/>
              </w:rPr>
              <w:t xml:space="preserve"> in line with current permissions for 2′-FL in the Code</w:t>
            </w:r>
            <w:r>
              <w:rPr>
                <w:szCs w:val="22"/>
              </w:rPr>
              <w:t>.</w:t>
            </w:r>
          </w:p>
          <w:p w14:paraId="5F75AAA7" w14:textId="0A943996" w:rsidR="000B74E8" w:rsidRPr="006C6A6B" w:rsidRDefault="00032093" w:rsidP="00F41AEA">
            <w:pPr>
              <w:spacing w:before="120" w:after="120"/>
              <w:cnfStyle w:val="000000000000" w:firstRow="0" w:lastRow="0" w:firstColumn="0" w:lastColumn="0" w:oddVBand="0" w:evenVBand="0" w:oddHBand="0" w:evenHBand="0" w:firstRowFirstColumn="0" w:firstRowLastColumn="0" w:lastRowFirstColumn="0" w:lastRowLastColumn="0"/>
            </w:pPr>
            <w:r w:rsidRPr="006C6A6B">
              <w:t>FSANZ acknowledges that oligosaccharides are found in mammalian milk</w:t>
            </w:r>
            <w:r w:rsidR="00ED7FA8">
              <w:t xml:space="preserve"> and not just human milk</w:t>
            </w:r>
            <w:r w:rsidR="005A4202">
              <w:t xml:space="preserve">, however this application refers to </w:t>
            </w:r>
            <w:r w:rsidR="005A4202" w:rsidRPr="006C6A6B">
              <w:rPr>
                <w:szCs w:val="22"/>
              </w:rPr>
              <w:t>2′-FL</w:t>
            </w:r>
            <w:r w:rsidR="00B0148F">
              <w:rPr>
                <w:szCs w:val="22"/>
              </w:rPr>
              <w:t xml:space="preserve"> which FSANZ understands</w:t>
            </w:r>
            <w:r w:rsidR="003C170F">
              <w:rPr>
                <w:szCs w:val="22"/>
              </w:rPr>
              <w:t xml:space="preserve"> from the application (Page 33)</w:t>
            </w:r>
            <w:r w:rsidR="00B0148F">
              <w:rPr>
                <w:szCs w:val="22"/>
              </w:rPr>
              <w:t xml:space="preserve"> is most abundant in human milk</w:t>
            </w:r>
            <w:r w:rsidR="00F41AEA">
              <w:rPr>
                <w:szCs w:val="22"/>
              </w:rPr>
              <w:t>, and only found in small or trace amounts in other mammalian milks (hence the desire to add it to IFP and FSFYC)</w:t>
            </w:r>
            <w:r>
              <w:t xml:space="preserve">. </w:t>
            </w:r>
            <w:r w:rsidR="008A70D2">
              <w:t>Amendments have been made to Section 3.1. of this report to clarify this issue.</w:t>
            </w:r>
          </w:p>
        </w:tc>
      </w:tr>
      <w:tr w:rsidR="000B74E8" w:rsidRPr="006C6A6B" w14:paraId="12CFEE7C" w14:textId="77777777" w:rsidTr="000B74E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209843D" w14:textId="77777777" w:rsidR="000B74E8" w:rsidRPr="006C6A6B" w:rsidRDefault="000B74E8" w:rsidP="00B909CA">
            <w:pPr>
              <w:spacing w:before="120" w:after="120"/>
            </w:pPr>
          </w:p>
        </w:tc>
        <w:tc>
          <w:tcPr>
            <w:tcW w:w="13430" w:type="dxa"/>
            <w:gridSpan w:val="3"/>
          </w:tcPr>
          <w:p w14:paraId="0222F9A5" w14:textId="263A4720" w:rsidR="000B74E8" w:rsidRPr="006C6A6B" w:rsidRDefault="000B74E8" w:rsidP="006F0646">
            <w:pPr>
              <w:pStyle w:val="FSTableHeading"/>
              <w:spacing w:before="120" w:after="120"/>
              <w:cnfStyle w:val="000000100000" w:firstRow="0" w:lastRow="0" w:firstColumn="0" w:lastColumn="0" w:oddVBand="0" w:evenVBand="0" w:oddHBand="1" w:evenHBand="0" w:firstRowFirstColumn="0" w:firstRowLastColumn="0" w:lastRowFirstColumn="0" w:lastRowLastColumn="0"/>
            </w:pPr>
            <w:r w:rsidRPr="0058423E">
              <w:rPr>
                <w:sz w:val="24"/>
              </w:rPr>
              <w:t xml:space="preserve">Schedule 3 </w:t>
            </w:r>
            <w:r w:rsidR="00032093">
              <w:rPr>
                <w:sz w:val="24"/>
              </w:rPr>
              <w:t xml:space="preserve">- </w:t>
            </w:r>
            <w:r w:rsidRPr="0058423E">
              <w:rPr>
                <w:sz w:val="24"/>
              </w:rPr>
              <w:t xml:space="preserve">Identity and purity </w:t>
            </w:r>
          </w:p>
        </w:tc>
      </w:tr>
      <w:tr w:rsidR="000B74E8" w:rsidRPr="006C6A6B" w14:paraId="26233F38" w14:textId="77777777" w:rsidTr="00DA0DBB">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4DFCBFB9" w14:textId="77777777" w:rsidR="000B74E8" w:rsidRPr="006C6A6B" w:rsidRDefault="000B74E8" w:rsidP="00B909CA">
            <w:pPr>
              <w:pStyle w:val="ListParagraph"/>
              <w:widowControl/>
              <w:numPr>
                <w:ilvl w:val="0"/>
                <w:numId w:val="28"/>
              </w:numPr>
              <w:spacing w:before="120" w:after="120"/>
              <w:contextualSpacing w:val="0"/>
              <w:jc w:val="center"/>
              <w:rPr>
                <w:color w:val="000000"/>
                <w:sz w:val="21"/>
                <w:szCs w:val="21"/>
              </w:rPr>
            </w:pPr>
          </w:p>
        </w:tc>
        <w:tc>
          <w:tcPr>
            <w:tcW w:w="5608" w:type="dxa"/>
          </w:tcPr>
          <w:p w14:paraId="74540148" w14:textId="2A931EF1" w:rsidR="000B74E8" w:rsidRPr="006C6A6B" w:rsidRDefault="002D3E6F" w:rsidP="00B909CA">
            <w:pPr>
              <w:spacing w:before="120" w:after="120"/>
              <w:cnfStyle w:val="000000000000" w:firstRow="0" w:lastRow="0" w:firstColumn="0" w:lastColumn="0" w:oddVBand="0" w:evenVBand="0" w:oddHBand="0" w:evenHBand="0" w:firstRowFirstColumn="0" w:firstRowLastColumn="0" w:lastRowFirstColumn="0" w:lastRowLastColumn="0"/>
              <w:rPr>
                <w:bCs/>
                <w:color w:val="000000"/>
                <w:sz w:val="21"/>
                <w:szCs w:val="21"/>
              </w:rPr>
            </w:pPr>
            <w:r>
              <w:rPr>
                <w:bCs/>
                <w:color w:val="000000"/>
              </w:rPr>
              <w:t>Advice was sought</w:t>
            </w:r>
            <w:r w:rsidR="000B74E8" w:rsidRPr="006C6A6B">
              <w:rPr>
                <w:bCs/>
                <w:color w:val="000000"/>
              </w:rPr>
              <w:t xml:space="preserve"> on how FSANZ decides what parameters to include</w:t>
            </w:r>
            <w:r>
              <w:rPr>
                <w:bCs/>
                <w:color w:val="000000"/>
              </w:rPr>
              <w:t xml:space="preserve"> in Schedule 3</w:t>
            </w:r>
            <w:r w:rsidR="000B74E8" w:rsidRPr="006C6A6B">
              <w:rPr>
                <w:bCs/>
                <w:color w:val="000000"/>
              </w:rPr>
              <w:t xml:space="preserve">. </w:t>
            </w:r>
            <w:r w:rsidR="000B74E8" w:rsidRPr="006C6A6B">
              <w:rPr>
                <w:bCs/>
                <w:color w:val="000000"/>
                <w:sz w:val="21"/>
                <w:szCs w:val="21"/>
              </w:rPr>
              <w:t xml:space="preserve">There is currently an inconsistent approach in Schedule 3 for parameters for microbes, individual nucleotides and heavy metals. </w:t>
            </w:r>
          </w:p>
          <w:p w14:paraId="7EA5683F" w14:textId="3762EF50" w:rsidR="000B74E8" w:rsidRPr="006C6A6B" w:rsidRDefault="002D3E6F" w:rsidP="00B909CA">
            <w:pPr>
              <w:spacing w:before="120" w:after="120"/>
              <w:cnfStyle w:val="000000000000" w:firstRow="0" w:lastRow="0" w:firstColumn="0" w:lastColumn="0" w:oddVBand="0" w:evenVBand="0" w:oddHBand="0" w:evenHBand="0" w:firstRowFirstColumn="0" w:firstRowLastColumn="0" w:lastRowFirstColumn="0" w:lastRowLastColumn="0"/>
              <w:rPr>
                <w:bCs/>
                <w:color w:val="000000"/>
                <w:sz w:val="21"/>
                <w:szCs w:val="21"/>
              </w:rPr>
            </w:pPr>
            <w:r>
              <w:rPr>
                <w:bCs/>
                <w:color w:val="000000"/>
              </w:rPr>
              <w:t>It was suggested that</w:t>
            </w:r>
            <w:r w:rsidR="000B74E8" w:rsidRPr="006C6A6B">
              <w:rPr>
                <w:bCs/>
                <w:color w:val="000000"/>
              </w:rPr>
              <w:t xml:space="preserve"> microbiological criteria and limits for</w:t>
            </w:r>
            <w:r w:rsidR="000B74E8" w:rsidRPr="006C6A6B">
              <w:rPr>
                <w:color w:val="000000"/>
              </w:rPr>
              <w:t xml:space="preserve"> </w:t>
            </w:r>
            <w:r w:rsidR="000B74E8" w:rsidRPr="006C6A6B">
              <w:rPr>
                <w:bCs/>
                <w:color w:val="000000"/>
              </w:rPr>
              <w:t xml:space="preserve">heavy metals </w:t>
            </w:r>
            <w:r>
              <w:rPr>
                <w:bCs/>
                <w:color w:val="000000"/>
              </w:rPr>
              <w:t>should not be include</w:t>
            </w:r>
            <w:r w:rsidR="00FA19AA">
              <w:rPr>
                <w:bCs/>
                <w:color w:val="000000"/>
              </w:rPr>
              <w:t>d</w:t>
            </w:r>
            <w:r>
              <w:rPr>
                <w:bCs/>
                <w:color w:val="000000"/>
              </w:rPr>
              <w:t xml:space="preserve"> in the</w:t>
            </w:r>
            <w:r>
              <w:rPr>
                <w:color w:val="000000"/>
              </w:rPr>
              <w:t xml:space="preserve"> </w:t>
            </w:r>
            <w:r w:rsidR="000B74E8" w:rsidRPr="006C6A6B">
              <w:rPr>
                <w:color w:val="000000"/>
              </w:rPr>
              <w:t>s</w:t>
            </w:r>
            <w:r w:rsidR="000B74E8" w:rsidRPr="006C6A6B">
              <w:rPr>
                <w:bCs/>
                <w:color w:val="000000"/>
              </w:rPr>
              <w:t xml:space="preserve">pecifications </w:t>
            </w:r>
            <w:r w:rsidR="000B74E8" w:rsidRPr="006C6A6B">
              <w:rPr>
                <w:color w:val="000000"/>
              </w:rPr>
              <w:t xml:space="preserve">in Schedule 3 unless there is a </w:t>
            </w:r>
            <w:r w:rsidR="000B74E8" w:rsidRPr="006C6A6B">
              <w:rPr>
                <w:bCs/>
                <w:color w:val="000000"/>
              </w:rPr>
              <w:t>compelling reason for inclusion for specific substances.</w:t>
            </w:r>
          </w:p>
          <w:p w14:paraId="2A9D33D8" w14:textId="50773019" w:rsidR="000B74E8" w:rsidRPr="006C6A6B" w:rsidRDefault="002D3E6F" w:rsidP="006F0646">
            <w:pPr>
              <w:spacing w:before="120" w:after="120"/>
              <w:cnfStyle w:val="000000000000" w:firstRow="0" w:lastRow="0" w:firstColumn="0" w:lastColumn="0" w:oddVBand="0" w:evenVBand="0" w:oddHBand="0" w:evenHBand="0" w:firstRowFirstColumn="0" w:firstRowLastColumn="0" w:lastRowFirstColumn="0" w:lastRowLastColumn="0"/>
              <w:rPr>
                <w:bCs/>
                <w:color w:val="000000"/>
                <w:sz w:val="21"/>
                <w:szCs w:val="21"/>
              </w:rPr>
            </w:pPr>
            <w:r>
              <w:rPr>
                <w:bCs/>
              </w:rPr>
              <w:t>It was further stated that the</w:t>
            </w:r>
            <w:r w:rsidR="000B74E8" w:rsidRPr="006C6A6B">
              <w:rPr>
                <w:bCs/>
              </w:rPr>
              <w:t xml:space="preserve"> onus</w:t>
            </w:r>
            <w:r>
              <w:rPr>
                <w:bCs/>
              </w:rPr>
              <w:t xml:space="preserve"> should</w:t>
            </w:r>
            <w:r w:rsidR="000B74E8" w:rsidRPr="006C6A6B">
              <w:rPr>
                <w:bCs/>
              </w:rPr>
              <w:t xml:space="preserve"> be placed</w:t>
            </w:r>
            <w:r>
              <w:rPr>
                <w:bCs/>
              </w:rPr>
              <w:t xml:space="preserve"> on </w:t>
            </w:r>
            <w:r w:rsidR="000B74E8" w:rsidRPr="006C6A6B">
              <w:rPr>
                <w:bCs/>
              </w:rPr>
              <w:t xml:space="preserve">manufacturers to assess microbiological suitability for their particular </w:t>
            </w:r>
            <w:r>
              <w:rPr>
                <w:bCs/>
              </w:rPr>
              <w:t xml:space="preserve">product. </w:t>
            </w:r>
          </w:p>
        </w:tc>
        <w:tc>
          <w:tcPr>
            <w:tcW w:w="1480" w:type="dxa"/>
          </w:tcPr>
          <w:p w14:paraId="085E4272" w14:textId="1BB38E7E" w:rsidR="002D3E6F" w:rsidRDefault="000B74E8" w:rsidP="007706A1">
            <w:pPr>
              <w:spacing w:before="120" w:after="120"/>
              <w:cnfStyle w:val="000000000000" w:firstRow="0" w:lastRow="0" w:firstColumn="0" w:lastColumn="0" w:oddVBand="0" w:evenVBand="0" w:oddHBand="0" w:evenHBand="0" w:firstRowFirstColumn="0" w:firstRowLastColumn="0" w:lastRowFirstColumn="0" w:lastRowLastColumn="0"/>
            </w:pPr>
            <w:r w:rsidRPr="006C6A6B">
              <w:t>AFGC</w:t>
            </w:r>
          </w:p>
          <w:p w14:paraId="26B2F206" w14:textId="5F9DE14F" w:rsidR="002D3E6F" w:rsidRDefault="000B74E8" w:rsidP="00C41213">
            <w:pPr>
              <w:spacing w:before="120" w:after="120"/>
              <w:cnfStyle w:val="000000000000" w:firstRow="0" w:lastRow="0" w:firstColumn="0" w:lastColumn="0" w:oddVBand="0" w:evenVBand="0" w:oddHBand="0" w:evenHBand="0" w:firstRowFirstColumn="0" w:firstRowLastColumn="0" w:lastRowFirstColumn="0" w:lastRowLastColumn="0"/>
            </w:pPr>
            <w:r w:rsidRPr="006C6A6B">
              <w:t>INC</w:t>
            </w:r>
          </w:p>
          <w:p w14:paraId="6B427668" w14:textId="492A6F75" w:rsidR="002D3E6F" w:rsidRDefault="000B74E8">
            <w:pPr>
              <w:spacing w:before="120" w:after="120"/>
              <w:cnfStyle w:val="000000000000" w:firstRow="0" w:lastRow="0" w:firstColumn="0" w:lastColumn="0" w:oddVBand="0" w:evenVBand="0" w:oddHBand="0" w:evenHBand="0" w:firstRowFirstColumn="0" w:firstRowLastColumn="0" w:lastRowFirstColumn="0" w:lastRowLastColumn="0"/>
            </w:pPr>
            <w:r w:rsidRPr="006C6A6B">
              <w:t>Fonterra</w:t>
            </w:r>
          </w:p>
          <w:p w14:paraId="6BDAC227" w14:textId="2DB3F172" w:rsidR="000B74E8" w:rsidRPr="006C6A6B" w:rsidRDefault="000B74E8">
            <w:pPr>
              <w:spacing w:before="120" w:after="120"/>
              <w:cnfStyle w:val="000000000000" w:firstRow="0" w:lastRow="0" w:firstColumn="0" w:lastColumn="0" w:oddVBand="0" w:evenVBand="0" w:oddHBand="0" w:evenHBand="0" w:firstRowFirstColumn="0" w:firstRowLastColumn="0" w:lastRowFirstColumn="0" w:lastRowLastColumn="0"/>
            </w:pPr>
            <w:r w:rsidRPr="006C6A6B">
              <w:t>DGC</w:t>
            </w:r>
          </w:p>
        </w:tc>
        <w:tc>
          <w:tcPr>
            <w:tcW w:w="6342" w:type="dxa"/>
          </w:tcPr>
          <w:p w14:paraId="72A46CD3" w14:textId="1E01B104" w:rsidR="008708ED" w:rsidRDefault="00891AF3" w:rsidP="00B909CA">
            <w:pPr>
              <w:spacing w:before="120" w:after="120"/>
              <w:cnfStyle w:val="000000000000" w:firstRow="0" w:lastRow="0" w:firstColumn="0" w:lastColumn="0" w:oddVBand="0" w:evenVBand="0" w:oddHBand="0" w:evenHBand="0" w:firstRowFirstColumn="0" w:firstRowLastColumn="0" w:lastRowFirstColumn="0" w:lastRowLastColumn="0"/>
            </w:pPr>
            <w:r>
              <w:t>FSANZ acknowledges there are differences in some microbiological criteria</w:t>
            </w:r>
            <w:r w:rsidR="008708ED">
              <w:t xml:space="preserve"> in Schedule 3</w:t>
            </w:r>
            <w:r>
              <w:t xml:space="preserve">. </w:t>
            </w:r>
          </w:p>
          <w:p w14:paraId="3C22ED88" w14:textId="39D5BD2F" w:rsidR="008708ED" w:rsidRDefault="008708ED" w:rsidP="00B909CA">
            <w:pPr>
              <w:spacing w:before="120" w:after="120"/>
              <w:cnfStyle w:val="000000000000" w:firstRow="0" w:lastRow="0" w:firstColumn="0" w:lastColumn="0" w:oddVBand="0" w:evenVBand="0" w:oddHBand="0" w:evenHBand="0" w:firstRowFirstColumn="0" w:firstRowLastColumn="0" w:lastRowFirstColumn="0" w:lastRowLastColumn="0"/>
            </w:pPr>
            <w:r>
              <w:t>However, t</w:t>
            </w:r>
            <w:r w:rsidR="00891AF3">
              <w:t>he broader issue of parameters in Schedule 3 is out of scope for this application</w:t>
            </w:r>
            <w:r>
              <w:t>.</w:t>
            </w:r>
          </w:p>
          <w:p w14:paraId="6BB1B2F5" w14:textId="29EDAE29" w:rsidR="00891AF3" w:rsidRDefault="008708ED" w:rsidP="00B909CA">
            <w:pPr>
              <w:spacing w:before="120" w:after="120"/>
              <w:cnfStyle w:val="000000000000" w:firstRow="0" w:lastRow="0" w:firstColumn="0" w:lastColumn="0" w:oddVBand="0" w:evenVBand="0" w:oddHBand="0" w:evenHBand="0" w:firstRowFirstColumn="0" w:firstRowLastColumn="0" w:lastRowFirstColumn="0" w:lastRowLastColumn="0"/>
            </w:pPr>
            <w:r>
              <w:t>S</w:t>
            </w:r>
            <w:r w:rsidR="00891AF3">
              <w:t>pecifications are usually provided by applicants and are based on their proprietary manufacturing process</w:t>
            </w:r>
            <w:r w:rsidR="006F0646">
              <w:t>, for example</w:t>
            </w:r>
            <w:r w:rsidR="006F0646" w:rsidRPr="00EA3931">
              <w:t xml:space="preserve"> an</w:t>
            </w:r>
            <w:r w:rsidR="006F0646">
              <w:t xml:space="preserve"> appropriate heating step will </w:t>
            </w:r>
            <w:r w:rsidR="006F0646" w:rsidRPr="00EA3931">
              <w:t xml:space="preserve">decrease requirements around </w:t>
            </w:r>
            <w:r w:rsidR="00FA19AA" w:rsidRPr="00EA3931">
              <w:t>microb</w:t>
            </w:r>
            <w:r w:rsidR="00FA19AA">
              <w:t>ial</w:t>
            </w:r>
            <w:r w:rsidR="00FA19AA" w:rsidRPr="00EA3931">
              <w:t xml:space="preserve"> </w:t>
            </w:r>
            <w:r w:rsidR="006F0646" w:rsidRPr="00EA3931">
              <w:t>reporting.</w:t>
            </w:r>
          </w:p>
          <w:p w14:paraId="365997D9" w14:textId="1CE07F21" w:rsidR="006F0646" w:rsidRPr="006C6A6B" w:rsidRDefault="002D3E6F" w:rsidP="001B149F">
            <w:pPr>
              <w:spacing w:before="120" w:after="120"/>
              <w:cnfStyle w:val="000000000000" w:firstRow="0" w:lastRow="0" w:firstColumn="0" w:lastColumn="0" w:oddVBand="0" w:evenVBand="0" w:oddHBand="0" w:evenHBand="0" w:firstRowFirstColumn="0" w:firstRowLastColumn="0" w:lastRowFirstColumn="0" w:lastRowLastColumn="0"/>
            </w:pPr>
            <w:r>
              <w:t>T</w:t>
            </w:r>
            <w:r w:rsidR="00891AF3">
              <w:t>he</w:t>
            </w:r>
            <w:r w:rsidR="008708ED">
              <w:t>refore, the</w:t>
            </w:r>
            <w:r w:rsidR="00891AF3">
              <w:t xml:space="preserve"> differences between the 2′-FL</w:t>
            </w:r>
            <w:r w:rsidR="00410A48">
              <w:t xml:space="preserve"> specifications</w:t>
            </w:r>
            <w:r w:rsidR="00891AF3">
              <w:t xml:space="preserve"> currently in the Code for </w:t>
            </w:r>
            <w:r w:rsidR="00A64146">
              <w:t xml:space="preserve">source </w:t>
            </w:r>
            <w:r w:rsidR="00891AF3">
              <w:t>K</w:t>
            </w:r>
            <w:r w:rsidR="00ED7FA8">
              <w:t>-</w:t>
            </w:r>
            <w:r w:rsidR="00891AF3">
              <w:t>12</w:t>
            </w:r>
            <w:r>
              <w:t xml:space="preserve"> (permitted through A1155)</w:t>
            </w:r>
            <w:r w:rsidR="00891AF3">
              <w:t>, and th</w:t>
            </w:r>
            <w:r>
              <w:t>is</w:t>
            </w:r>
            <w:r w:rsidR="00891AF3">
              <w:t xml:space="preserve"> applicant</w:t>
            </w:r>
            <w:r>
              <w:t>’</w:t>
            </w:r>
            <w:r w:rsidR="00891AF3">
              <w:t xml:space="preserve">s </w:t>
            </w:r>
            <w:r>
              <w:t xml:space="preserve">2′-FL </w:t>
            </w:r>
            <w:r w:rsidR="00410A48">
              <w:t xml:space="preserve">specifications </w:t>
            </w:r>
            <w:r>
              <w:t xml:space="preserve">from </w:t>
            </w:r>
            <w:r w:rsidR="00891AF3">
              <w:t>BL21,</w:t>
            </w:r>
            <w:r>
              <w:t xml:space="preserve"> relate to the </w:t>
            </w:r>
            <w:r w:rsidR="00891AF3">
              <w:t>unique proprietary manufacturing processes</w:t>
            </w:r>
            <w:r w:rsidR="00410A48" w:rsidRPr="008E190A">
              <w:t>.</w:t>
            </w:r>
          </w:p>
        </w:tc>
      </w:tr>
      <w:tr w:rsidR="000B74E8" w:rsidRPr="006C6A6B" w14:paraId="0E8196A4" w14:textId="77777777" w:rsidTr="00DA0DBB">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13D0396" w14:textId="77777777" w:rsidR="000B74E8" w:rsidRPr="006C6A6B" w:rsidRDefault="000B74E8" w:rsidP="00B909CA">
            <w:pPr>
              <w:pStyle w:val="Default"/>
              <w:numPr>
                <w:ilvl w:val="0"/>
                <w:numId w:val="28"/>
              </w:numPr>
              <w:spacing w:before="120" w:after="120"/>
              <w:jc w:val="center"/>
              <w:rPr>
                <w:rFonts w:ascii="Arial" w:hAnsi="Arial"/>
                <w:sz w:val="21"/>
                <w:szCs w:val="21"/>
              </w:rPr>
            </w:pPr>
          </w:p>
        </w:tc>
        <w:tc>
          <w:tcPr>
            <w:tcW w:w="5608" w:type="dxa"/>
          </w:tcPr>
          <w:p w14:paraId="0CBF6CD5" w14:textId="0B620143" w:rsidR="000B74E8" w:rsidRPr="006C6A6B" w:rsidRDefault="00410A48" w:rsidP="00B909CA">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bCs/>
                <w:sz w:val="22"/>
                <w:szCs w:val="22"/>
              </w:rPr>
              <w:t xml:space="preserve">It was suggested that </w:t>
            </w:r>
            <w:r w:rsidR="000B74E8" w:rsidRPr="006C6A6B">
              <w:rPr>
                <w:rFonts w:ascii="Arial" w:hAnsi="Arial"/>
                <w:bCs/>
                <w:sz w:val="22"/>
                <w:szCs w:val="22"/>
              </w:rPr>
              <w:t xml:space="preserve">FSANZ </w:t>
            </w:r>
            <w:r w:rsidR="00A871F4">
              <w:rPr>
                <w:rFonts w:ascii="Arial" w:hAnsi="Arial"/>
                <w:bCs/>
                <w:sz w:val="22"/>
                <w:szCs w:val="22"/>
              </w:rPr>
              <w:t xml:space="preserve">adopts </w:t>
            </w:r>
            <w:r>
              <w:rPr>
                <w:rFonts w:ascii="Arial" w:hAnsi="Arial"/>
                <w:bCs/>
                <w:sz w:val="22"/>
                <w:szCs w:val="22"/>
              </w:rPr>
              <w:t>a</w:t>
            </w:r>
            <w:r w:rsidRPr="006C6A6B">
              <w:rPr>
                <w:rFonts w:ascii="Arial" w:hAnsi="Arial"/>
                <w:bCs/>
                <w:sz w:val="22"/>
                <w:szCs w:val="22"/>
              </w:rPr>
              <w:t xml:space="preserve"> </w:t>
            </w:r>
            <w:r w:rsidR="000B74E8" w:rsidRPr="006C6A6B">
              <w:rPr>
                <w:rFonts w:ascii="Arial" w:hAnsi="Arial"/>
                <w:bCs/>
                <w:sz w:val="22"/>
                <w:szCs w:val="22"/>
              </w:rPr>
              <w:t>specification for</w:t>
            </w:r>
            <w:r w:rsidR="000B74E8" w:rsidRPr="006C6A6B">
              <w:rPr>
                <w:rFonts w:ascii="Arial" w:hAnsi="Arial"/>
                <w:sz w:val="22"/>
                <w:szCs w:val="22"/>
              </w:rPr>
              <w:t xml:space="preserve"> 2′-FL in Schedule 3 </w:t>
            </w:r>
            <w:r>
              <w:rPr>
                <w:rFonts w:ascii="Arial" w:hAnsi="Arial"/>
                <w:sz w:val="22"/>
                <w:szCs w:val="22"/>
              </w:rPr>
              <w:t>which</w:t>
            </w:r>
            <w:r w:rsidRPr="006C6A6B">
              <w:rPr>
                <w:rFonts w:ascii="Arial" w:hAnsi="Arial"/>
                <w:sz w:val="22"/>
                <w:szCs w:val="22"/>
              </w:rPr>
              <w:t xml:space="preserve"> </w:t>
            </w:r>
            <w:r w:rsidR="000B74E8" w:rsidRPr="006C6A6B">
              <w:rPr>
                <w:rFonts w:ascii="Arial" w:hAnsi="Arial"/>
                <w:bCs/>
                <w:sz w:val="22"/>
                <w:szCs w:val="22"/>
              </w:rPr>
              <w:t>align</w:t>
            </w:r>
            <w:r>
              <w:rPr>
                <w:rFonts w:ascii="Arial" w:hAnsi="Arial"/>
                <w:bCs/>
                <w:sz w:val="22"/>
                <w:szCs w:val="22"/>
              </w:rPr>
              <w:t>s</w:t>
            </w:r>
            <w:r w:rsidR="000B74E8" w:rsidRPr="006C6A6B">
              <w:rPr>
                <w:rFonts w:ascii="Arial" w:hAnsi="Arial"/>
                <w:bCs/>
                <w:sz w:val="22"/>
                <w:szCs w:val="22"/>
              </w:rPr>
              <w:t xml:space="preserve"> with </w:t>
            </w:r>
            <w:r>
              <w:rPr>
                <w:rFonts w:ascii="Arial" w:hAnsi="Arial"/>
                <w:bCs/>
                <w:sz w:val="22"/>
                <w:szCs w:val="22"/>
              </w:rPr>
              <w:t>the</w:t>
            </w:r>
            <w:r w:rsidR="000B74E8" w:rsidRPr="006C6A6B">
              <w:rPr>
                <w:rFonts w:ascii="Arial" w:hAnsi="Arial"/>
                <w:bCs/>
                <w:sz w:val="22"/>
                <w:szCs w:val="22"/>
              </w:rPr>
              <w:t xml:space="preserve"> EU novel food list (EU2017/2470 consolidated to 16.05.21).</w:t>
            </w:r>
          </w:p>
          <w:p w14:paraId="0548D96E" w14:textId="5615973D" w:rsidR="000B74E8" w:rsidRPr="006C6A6B" w:rsidRDefault="00410A48" w:rsidP="00B909CA">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sz w:val="22"/>
                <w:szCs w:val="22"/>
              </w:rPr>
            </w:pPr>
            <w:r>
              <w:rPr>
                <w:rFonts w:ascii="Arial" w:hAnsi="Arial"/>
                <w:sz w:val="22"/>
                <w:szCs w:val="22"/>
              </w:rPr>
              <w:t>It is preferred that there is</w:t>
            </w:r>
            <w:r w:rsidR="000B74E8" w:rsidRPr="006C6A6B">
              <w:rPr>
                <w:rFonts w:ascii="Arial" w:hAnsi="Arial"/>
                <w:sz w:val="22"/>
                <w:szCs w:val="22"/>
              </w:rPr>
              <w:t xml:space="preserve"> one entry for “2’-Fucosyllactose” (microbial source), a definition including chemical name, chemical formula, CAS No. and molecular weight. </w:t>
            </w:r>
          </w:p>
          <w:p w14:paraId="56CA0051" w14:textId="77777777" w:rsidR="000B74E8" w:rsidRPr="006C6A6B" w:rsidRDefault="000B74E8" w:rsidP="00B909CA">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b/>
                <w:bCs/>
                <w:sz w:val="21"/>
                <w:szCs w:val="21"/>
              </w:rPr>
            </w:pPr>
            <w:r w:rsidRPr="006C6A6B">
              <w:rPr>
                <w:rFonts w:ascii="Arial" w:hAnsi="Arial"/>
                <w:sz w:val="22"/>
                <w:szCs w:val="22"/>
              </w:rPr>
              <w:t>Separate descriptions and purity provisions could then be included for the two microbial sources approved for use in specific applications.</w:t>
            </w:r>
          </w:p>
        </w:tc>
        <w:tc>
          <w:tcPr>
            <w:tcW w:w="1480" w:type="dxa"/>
          </w:tcPr>
          <w:p w14:paraId="18B6D5DA" w14:textId="77777777" w:rsidR="00410A48"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AFGC</w:t>
            </w:r>
          </w:p>
          <w:p w14:paraId="14E638DF" w14:textId="4831CCC3" w:rsidR="00C55E61" w:rsidRDefault="00C55E61" w:rsidP="00B909CA">
            <w:pPr>
              <w:spacing w:before="120" w:after="120"/>
              <w:cnfStyle w:val="000000100000" w:firstRow="0" w:lastRow="0" w:firstColumn="0" w:lastColumn="0" w:oddVBand="0" w:evenVBand="0" w:oddHBand="1" w:evenHBand="0" w:firstRowFirstColumn="0" w:firstRowLastColumn="0" w:lastRowFirstColumn="0" w:lastRowLastColumn="0"/>
            </w:pPr>
            <w:r>
              <w:t>INC</w:t>
            </w:r>
          </w:p>
          <w:p w14:paraId="66AA9800" w14:textId="638C3550" w:rsidR="000B74E8" w:rsidRDefault="000B74E8" w:rsidP="00B909CA">
            <w:pPr>
              <w:spacing w:before="120" w:after="120"/>
              <w:cnfStyle w:val="000000100000" w:firstRow="0" w:lastRow="0" w:firstColumn="0" w:lastColumn="0" w:oddVBand="0" w:evenVBand="0" w:oddHBand="1" w:evenHBand="0" w:firstRowFirstColumn="0" w:firstRowLastColumn="0" w:lastRowFirstColumn="0" w:lastRowLastColumn="0"/>
            </w:pPr>
            <w:r w:rsidRPr="006C6A6B">
              <w:t>Fonterra</w:t>
            </w:r>
          </w:p>
          <w:p w14:paraId="1E7AF57A" w14:textId="7C6160C6" w:rsidR="00EF3603" w:rsidRPr="006C6A6B" w:rsidRDefault="00EF3603" w:rsidP="00B909CA">
            <w:pPr>
              <w:spacing w:before="120" w:after="120"/>
              <w:cnfStyle w:val="000000100000" w:firstRow="0" w:lastRow="0" w:firstColumn="0" w:lastColumn="0" w:oddVBand="0" w:evenVBand="0" w:oddHBand="1" w:evenHBand="0" w:firstRowFirstColumn="0" w:firstRowLastColumn="0" w:lastRowFirstColumn="0" w:lastRowLastColumn="0"/>
            </w:pPr>
            <w:r>
              <w:t>DGC</w:t>
            </w:r>
          </w:p>
        </w:tc>
        <w:tc>
          <w:tcPr>
            <w:tcW w:w="6342" w:type="dxa"/>
          </w:tcPr>
          <w:p w14:paraId="492E77EB" w14:textId="1FC1A941" w:rsidR="001420F8" w:rsidRDefault="001420F8" w:rsidP="008E190A">
            <w:pPr>
              <w:spacing w:before="120" w:after="120"/>
              <w:cnfStyle w:val="000000100000" w:firstRow="0" w:lastRow="0" w:firstColumn="0" w:lastColumn="0" w:oddVBand="0" w:evenVBand="0" w:oddHBand="1" w:evenHBand="0" w:firstRowFirstColumn="0" w:firstRowLastColumn="0" w:lastRowFirstColumn="0" w:lastRowLastColumn="0"/>
            </w:pPr>
            <w:r>
              <w:t>FSANZ notes th</w:t>
            </w:r>
            <w:r w:rsidR="00ED7FA8">
              <w:t>is</w:t>
            </w:r>
            <w:r>
              <w:t xml:space="preserve"> suggestion</w:t>
            </w:r>
            <w:r w:rsidR="00ED7FA8">
              <w:t xml:space="preserve">, and acknowledges that the EU lists one generic specification with individual permissions at the </w:t>
            </w:r>
            <w:r w:rsidR="00A64146">
              <w:t>source</w:t>
            </w:r>
            <w:r w:rsidR="00ED7FA8">
              <w:t xml:space="preserve"> level</w:t>
            </w:r>
            <w:r>
              <w:t>.</w:t>
            </w:r>
          </w:p>
          <w:p w14:paraId="38932307" w14:textId="0790AC8A" w:rsidR="001420F8" w:rsidRDefault="00ED7FA8" w:rsidP="008E190A">
            <w:pPr>
              <w:spacing w:before="120" w:after="120"/>
              <w:cnfStyle w:val="000000100000" w:firstRow="0" w:lastRow="0" w:firstColumn="0" w:lastColumn="0" w:oddVBand="0" w:evenVBand="0" w:oddHBand="1" w:evenHBand="0" w:firstRowFirstColumn="0" w:firstRowLastColumn="0" w:lastRowFirstColumn="0" w:lastRowLastColumn="0"/>
            </w:pPr>
            <w:r>
              <w:t>In the Code, s</w:t>
            </w:r>
            <w:r w:rsidR="001420F8">
              <w:t>pecifications are usually provided by applicants and are based on their proprietary manufacturing process.</w:t>
            </w:r>
          </w:p>
          <w:p w14:paraId="410CF56F" w14:textId="2BEB0A83" w:rsidR="007749EC" w:rsidRDefault="00410A48" w:rsidP="008E190A">
            <w:pPr>
              <w:spacing w:before="120" w:after="120"/>
              <w:cnfStyle w:val="000000100000" w:firstRow="0" w:lastRow="0" w:firstColumn="0" w:lastColumn="0" w:oddVBand="0" w:evenVBand="0" w:oddHBand="1" w:evenHBand="0" w:firstRowFirstColumn="0" w:firstRowLastColumn="0" w:lastRowFirstColumn="0" w:lastRowLastColumn="0"/>
            </w:pPr>
            <w:r>
              <w:t xml:space="preserve">As noted above, </w:t>
            </w:r>
            <w:r w:rsidR="001420F8">
              <w:t>changing</w:t>
            </w:r>
            <w:r w:rsidR="007749EC">
              <w:t xml:space="preserve"> how </w:t>
            </w:r>
            <w:r w:rsidR="001420F8">
              <w:t xml:space="preserve">existing </w:t>
            </w:r>
            <w:r w:rsidR="007749EC">
              <w:t xml:space="preserve">specifications </w:t>
            </w:r>
            <w:r w:rsidR="001420F8" w:rsidRPr="006C6A6B">
              <w:rPr>
                <w:bCs/>
                <w:szCs w:val="22"/>
              </w:rPr>
              <w:t>for</w:t>
            </w:r>
            <w:r w:rsidR="001420F8" w:rsidRPr="006C6A6B">
              <w:rPr>
                <w:szCs w:val="22"/>
              </w:rPr>
              <w:t xml:space="preserve"> </w:t>
            </w:r>
            <w:r w:rsidR="002F2871">
              <w:rPr>
                <w:szCs w:val="22"/>
              </w:rPr>
              <w:t xml:space="preserve">all </w:t>
            </w:r>
            <w:r w:rsidR="001420F8" w:rsidRPr="006C6A6B">
              <w:rPr>
                <w:szCs w:val="22"/>
              </w:rPr>
              <w:t xml:space="preserve">2′-FL </w:t>
            </w:r>
            <w:r w:rsidR="007749EC">
              <w:t xml:space="preserve">are set out in Schedule 3 is </w:t>
            </w:r>
            <w:r w:rsidR="001420F8">
              <w:t>outside</w:t>
            </w:r>
            <w:r w:rsidR="007749EC">
              <w:t xml:space="preserve"> the scope of A1190.</w:t>
            </w:r>
          </w:p>
          <w:p w14:paraId="6E27F8D3" w14:textId="7EB981B6" w:rsidR="000B74E8" w:rsidRPr="006C6A6B" w:rsidRDefault="00410A48" w:rsidP="008E190A">
            <w:pPr>
              <w:spacing w:before="120" w:after="120"/>
              <w:cnfStyle w:val="000000100000" w:firstRow="0" w:lastRow="0" w:firstColumn="0" w:lastColumn="0" w:oddVBand="0" w:evenVBand="0" w:oddHBand="1" w:evenHBand="0" w:firstRowFirstColumn="0" w:firstRowLastColumn="0" w:lastRowFirstColumn="0" w:lastRowLastColumn="0"/>
            </w:pPr>
            <w:r w:rsidRPr="005F4785">
              <w:t>FSANZ may consider consolidating existing permissions into one set of generic permissions once substantial equivalence of all types of 2′-FL can be demonstrated.</w:t>
            </w:r>
          </w:p>
        </w:tc>
      </w:tr>
      <w:tr w:rsidR="000B74E8" w:rsidRPr="006C6A6B" w14:paraId="5C746738" w14:textId="77777777" w:rsidTr="00DA0DBB">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C7CB8EB" w14:textId="77777777" w:rsidR="000B74E8" w:rsidRPr="006C6A6B" w:rsidRDefault="000B74E8" w:rsidP="00B909CA">
            <w:pPr>
              <w:pStyle w:val="Default"/>
              <w:numPr>
                <w:ilvl w:val="0"/>
                <w:numId w:val="28"/>
              </w:numPr>
              <w:spacing w:before="120" w:after="120"/>
              <w:jc w:val="center"/>
              <w:rPr>
                <w:rFonts w:ascii="Arial" w:hAnsi="Arial"/>
                <w:sz w:val="21"/>
                <w:szCs w:val="21"/>
              </w:rPr>
            </w:pPr>
          </w:p>
        </w:tc>
        <w:tc>
          <w:tcPr>
            <w:tcW w:w="5608" w:type="dxa"/>
          </w:tcPr>
          <w:p w14:paraId="77CED0B5" w14:textId="60BEB6D5" w:rsidR="000B74E8" w:rsidRPr="006C6A6B" w:rsidRDefault="00987B97" w:rsidP="008E190A">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sz w:val="22"/>
                <w:szCs w:val="21"/>
              </w:rPr>
            </w:pPr>
            <w:r>
              <w:rPr>
                <w:rFonts w:ascii="Arial" w:hAnsi="Arial"/>
                <w:sz w:val="22"/>
                <w:szCs w:val="21"/>
              </w:rPr>
              <w:t>It wa</w:t>
            </w:r>
            <w:r w:rsidR="00410A48">
              <w:rPr>
                <w:rFonts w:ascii="Arial" w:hAnsi="Arial"/>
                <w:sz w:val="22"/>
                <w:szCs w:val="21"/>
              </w:rPr>
              <w:t xml:space="preserve">s stated that </w:t>
            </w:r>
            <w:r w:rsidR="000B74E8" w:rsidRPr="006C6A6B">
              <w:rPr>
                <w:rFonts w:ascii="Arial" w:hAnsi="Arial"/>
                <w:sz w:val="22"/>
                <w:szCs w:val="21"/>
              </w:rPr>
              <w:t>S3—45 (u)(i) should capitalise ‘</w:t>
            </w:r>
            <w:r w:rsidR="000B74E8" w:rsidRPr="006C6A6B">
              <w:rPr>
                <w:rFonts w:ascii="Arial" w:hAnsi="Arial"/>
                <w:i/>
                <w:sz w:val="22"/>
                <w:szCs w:val="21"/>
              </w:rPr>
              <w:t>Salmonella</w:t>
            </w:r>
            <w:r w:rsidR="000B74E8" w:rsidRPr="006C6A6B">
              <w:rPr>
                <w:rFonts w:ascii="Arial" w:hAnsi="Arial"/>
                <w:sz w:val="22"/>
                <w:szCs w:val="21"/>
              </w:rPr>
              <w:t>’ and (u)(iv) should capitalise ‘</w:t>
            </w:r>
            <w:r w:rsidR="000B74E8" w:rsidRPr="006C6A6B">
              <w:rPr>
                <w:rFonts w:ascii="Arial" w:hAnsi="Arial"/>
                <w:i/>
                <w:sz w:val="22"/>
                <w:szCs w:val="21"/>
              </w:rPr>
              <w:t>Cronobacter sakazakii</w:t>
            </w:r>
            <w:r w:rsidR="000B74E8" w:rsidRPr="006C6A6B">
              <w:rPr>
                <w:rFonts w:ascii="Arial" w:hAnsi="Arial"/>
                <w:sz w:val="22"/>
                <w:szCs w:val="21"/>
              </w:rPr>
              <w:t>’.</w:t>
            </w:r>
          </w:p>
        </w:tc>
        <w:tc>
          <w:tcPr>
            <w:tcW w:w="1480" w:type="dxa"/>
          </w:tcPr>
          <w:p w14:paraId="54299894" w14:textId="77777777"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INC</w:t>
            </w:r>
          </w:p>
        </w:tc>
        <w:tc>
          <w:tcPr>
            <w:tcW w:w="6342" w:type="dxa"/>
          </w:tcPr>
          <w:p w14:paraId="5ACF4419" w14:textId="22BAD274" w:rsidR="000B74E8" w:rsidRPr="006C6A6B" w:rsidRDefault="000B74E8" w:rsidP="008E190A">
            <w:pPr>
              <w:spacing w:before="120" w:after="120"/>
              <w:cnfStyle w:val="000000000000" w:firstRow="0" w:lastRow="0" w:firstColumn="0" w:lastColumn="0" w:oddVBand="0" w:evenVBand="0" w:oddHBand="0" w:evenHBand="0" w:firstRowFirstColumn="0" w:firstRowLastColumn="0" w:lastRowFirstColumn="0" w:lastRowLastColumn="0"/>
              <w:rPr>
                <w:b/>
              </w:rPr>
            </w:pPr>
            <w:r w:rsidRPr="006C6A6B">
              <w:t xml:space="preserve">FSANZ thanks </w:t>
            </w:r>
            <w:r w:rsidR="00410A48">
              <w:t xml:space="preserve">the </w:t>
            </w:r>
            <w:r w:rsidRPr="006C6A6B">
              <w:t xml:space="preserve">submitter for bringing this to </w:t>
            </w:r>
            <w:r w:rsidR="00410A48">
              <w:t>our</w:t>
            </w:r>
            <w:r w:rsidR="00410A48" w:rsidRPr="006C6A6B">
              <w:t xml:space="preserve"> </w:t>
            </w:r>
            <w:r w:rsidRPr="006C6A6B">
              <w:t xml:space="preserve">attention. These </w:t>
            </w:r>
            <w:r w:rsidR="00EC6344">
              <w:t xml:space="preserve">typographical </w:t>
            </w:r>
            <w:r w:rsidRPr="006C6A6B">
              <w:t xml:space="preserve">errors have been rectified in the </w:t>
            </w:r>
            <w:r w:rsidR="001420F8">
              <w:t xml:space="preserve">approved </w:t>
            </w:r>
            <w:r w:rsidRPr="006C6A6B">
              <w:t xml:space="preserve">draft variation in </w:t>
            </w:r>
            <w:r w:rsidR="00410A48">
              <w:t>Attachment A to this report.</w:t>
            </w:r>
          </w:p>
        </w:tc>
      </w:tr>
      <w:tr w:rsidR="000B74E8" w:rsidRPr="006C6A6B" w14:paraId="7CB11361" w14:textId="77777777" w:rsidTr="000B74E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78A8BE02" w14:textId="77777777" w:rsidR="000B74E8" w:rsidRPr="006C6A6B" w:rsidRDefault="000B74E8" w:rsidP="00B909CA">
            <w:pPr>
              <w:pStyle w:val="Default"/>
              <w:spacing w:before="120" w:after="120"/>
              <w:ind w:left="360"/>
              <w:rPr>
                <w:rFonts w:ascii="Arial" w:hAnsi="Arial"/>
                <w:sz w:val="21"/>
                <w:szCs w:val="21"/>
              </w:rPr>
            </w:pPr>
          </w:p>
        </w:tc>
        <w:tc>
          <w:tcPr>
            <w:tcW w:w="13430" w:type="dxa"/>
            <w:gridSpan w:val="3"/>
          </w:tcPr>
          <w:p w14:paraId="7C8E5DCA" w14:textId="56CB7F7C" w:rsidR="000B74E8" w:rsidRPr="006C6A6B" w:rsidRDefault="00C55E61" w:rsidP="00C55E61">
            <w:pPr>
              <w:pStyle w:val="FSTableHeading"/>
              <w:spacing w:before="120" w:after="120"/>
              <w:cnfStyle w:val="000000100000" w:firstRow="0" w:lastRow="0" w:firstColumn="0" w:lastColumn="0" w:oddVBand="0" w:evenVBand="0" w:oddHBand="1" w:evenHBand="0" w:firstRowFirstColumn="0" w:firstRowLastColumn="0" w:lastRowFirstColumn="0" w:lastRowLastColumn="0"/>
            </w:pPr>
            <w:r>
              <w:rPr>
                <w:sz w:val="24"/>
              </w:rPr>
              <w:t>International p</w:t>
            </w:r>
            <w:r w:rsidR="004066E7">
              <w:rPr>
                <w:sz w:val="24"/>
              </w:rPr>
              <w:t>ermitted use level error</w:t>
            </w:r>
          </w:p>
        </w:tc>
      </w:tr>
      <w:tr w:rsidR="000B74E8" w:rsidRPr="006C6A6B" w14:paraId="105CE7EE" w14:textId="77777777" w:rsidTr="00DA0DBB">
        <w:trPr>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304159F7" w14:textId="77777777" w:rsidR="000B74E8" w:rsidRPr="006C6A6B" w:rsidRDefault="000B74E8" w:rsidP="00B909CA">
            <w:pPr>
              <w:pStyle w:val="Default"/>
              <w:numPr>
                <w:ilvl w:val="0"/>
                <w:numId w:val="28"/>
              </w:numPr>
              <w:spacing w:before="120" w:after="120"/>
              <w:jc w:val="center"/>
              <w:rPr>
                <w:rFonts w:ascii="Arial" w:hAnsi="Arial"/>
                <w:sz w:val="21"/>
                <w:szCs w:val="21"/>
              </w:rPr>
            </w:pPr>
          </w:p>
        </w:tc>
        <w:tc>
          <w:tcPr>
            <w:tcW w:w="5608" w:type="dxa"/>
          </w:tcPr>
          <w:p w14:paraId="68070B44" w14:textId="39308687" w:rsidR="000B74E8" w:rsidRPr="006C6A6B" w:rsidRDefault="00987B97" w:rsidP="00B909CA">
            <w:pPr>
              <w:spacing w:before="120" w:after="120"/>
              <w:cnfStyle w:val="000000000000" w:firstRow="0" w:lastRow="0" w:firstColumn="0" w:lastColumn="0" w:oddVBand="0" w:evenVBand="0" w:oddHBand="0" w:evenHBand="0" w:firstRowFirstColumn="0" w:firstRowLastColumn="0" w:lastRowFirstColumn="0" w:lastRowLastColumn="0"/>
              <w:rPr>
                <w:iCs/>
              </w:rPr>
            </w:pPr>
            <w:r>
              <w:rPr>
                <w:iCs/>
              </w:rPr>
              <w:t xml:space="preserve">It was </w:t>
            </w:r>
            <w:r w:rsidR="0074216C">
              <w:rPr>
                <w:iCs/>
              </w:rPr>
              <w:t>noted</w:t>
            </w:r>
            <w:r>
              <w:rPr>
                <w:iCs/>
              </w:rPr>
              <w:t xml:space="preserve"> that</w:t>
            </w:r>
            <w:r w:rsidR="000B74E8" w:rsidRPr="006C6A6B">
              <w:rPr>
                <w:iCs/>
              </w:rPr>
              <w:t xml:space="preserve"> </w:t>
            </w:r>
            <w:r w:rsidR="0074216C">
              <w:rPr>
                <w:iCs/>
              </w:rPr>
              <w:t>there wa</w:t>
            </w:r>
            <w:r>
              <w:rPr>
                <w:iCs/>
              </w:rPr>
              <w:t xml:space="preserve">s </w:t>
            </w:r>
            <w:r w:rsidR="000B74E8" w:rsidRPr="006C6A6B">
              <w:rPr>
                <w:iCs/>
              </w:rPr>
              <w:t>an error on page 10 of the CFS relating to EU permissions: “(less if combined with LNnT)”.</w:t>
            </w:r>
          </w:p>
          <w:p w14:paraId="714822DD" w14:textId="40353AA2" w:rsidR="000B74E8" w:rsidRPr="006C6A6B" w:rsidRDefault="00987B97" w:rsidP="008E190A">
            <w:pPr>
              <w:spacing w:before="120" w:after="120"/>
              <w:cnfStyle w:val="000000000000" w:firstRow="0" w:lastRow="0" w:firstColumn="0" w:lastColumn="0" w:oddVBand="0" w:evenVBand="0" w:oddHBand="0" w:evenHBand="0" w:firstRowFirstColumn="0" w:firstRowLastColumn="0" w:lastRowFirstColumn="0" w:lastRowLastColumn="0"/>
              <w:rPr>
                <w:iCs/>
              </w:rPr>
            </w:pPr>
            <w:r>
              <w:rPr>
                <w:iCs/>
              </w:rPr>
              <w:t>It was clarified that t</w:t>
            </w:r>
            <w:r w:rsidR="000B74E8" w:rsidRPr="006C6A6B">
              <w:rPr>
                <w:iCs/>
              </w:rPr>
              <w:t xml:space="preserve">he limit in the EU Regulation (EU) 2017/2470 of 20 December 2017 is the same for 2′-FL whether with or without LNnT so long as a ratio of 2:1 is maintained. It is not clear that there is evidence to support the statement in the Food Standards Code. </w:t>
            </w:r>
          </w:p>
        </w:tc>
        <w:tc>
          <w:tcPr>
            <w:tcW w:w="1480" w:type="dxa"/>
          </w:tcPr>
          <w:p w14:paraId="776E7F74" w14:textId="77777777"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rPr>
                <w:iCs/>
              </w:rPr>
              <w:t>INC</w:t>
            </w:r>
          </w:p>
        </w:tc>
        <w:tc>
          <w:tcPr>
            <w:tcW w:w="6342" w:type="dxa"/>
          </w:tcPr>
          <w:p w14:paraId="5CBD1AE3" w14:textId="77BE9163" w:rsidR="000B74E8" w:rsidRDefault="000B74E8" w:rsidP="00087B4C">
            <w:pPr>
              <w:spacing w:before="120" w:after="120"/>
              <w:cnfStyle w:val="000000000000" w:firstRow="0" w:lastRow="0" w:firstColumn="0" w:lastColumn="0" w:oddVBand="0" w:evenVBand="0" w:oddHBand="0" w:evenHBand="0" w:firstRowFirstColumn="0" w:firstRowLastColumn="0" w:lastRowFirstColumn="0" w:lastRowLastColumn="0"/>
            </w:pPr>
            <w:r w:rsidRPr="006C6A6B">
              <w:t xml:space="preserve">FSANZ thanks the submitter for raising this error in the CFS report. This has been rectified to align with the EU permissions </w:t>
            </w:r>
            <w:r w:rsidR="0074216C">
              <w:t xml:space="preserve">in </w:t>
            </w:r>
            <w:r w:rsidR="00615108">
              <w:t>S</w:t>
            </w:r>
            <w:r w:rsidR="00615108" w:rsidRPr="007E5E40">
              <w:t xml:space="preserve">ection </w:t>
            </w:r>
            <w:r w:rsidR="007E5E40">
              <w:t>1.3.2</w:t>
            </w:r>
            <w:r w:rsidR="0074216C">
              <w:t xml:space="preserve"> of this report.</w:t>
            </w:r>
          </w:p>
          <w:p w14:paraId="4357AC71" w14:textId="4F9F24AD" w:rsidR="00ED7FA8" w:rsidRPr="00087B4C" w:rsidRDefault="00ED7FA8" w:rsidP="00D264B0">
            <w:pPr>
              <w:pStyle w:val="CommentTex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D264B0">
              <w:rPr>
                <w:sz w:val="22"/>
                <w:szCs w:val="22"/>
              </w:rPr>
              <w:t xml:space="preserve">In relation to the comment regarding existing permissions in the Code, decisions related to the existing levels of 2′-FL and LNnT in the Code were made in accordance with requirements in the FSANZ Act. For example, undertaking </w:t>
            </w:r>
            <w:r w:rsidRPr="00087B4C">
              <w:rPr>
                <w:sz w:val="22"/>
                <w:szCs w:val="22"/>
              </w:rPr>
              <w:t>risk analysis using the best available scientific evidence (paragraph 18(2)(a)) and the promotion of consistency between domestic and international food standards (paragraph 18(2)(b)).</w:t>
            </w:r>
          </w:p>
          <w:p w14:paraId="4D51FE35" w14:textId="4F49BB02" w:rsidR="00ED7FA8" w:rsidRPr="00D264B0" w:rsidRDefault="00ED7FA8" w:rsidP="00D264B0">
            <w:pPr>
              <w:pStyle w:val="CommentText"/>
              <w:spacing w:before="120" w:after="120"/>
              <w:cnfStyle w:val="000000000000" w:firstRow="0" w:lastRow="0" w:firstColumn="0" w:lastColumn="0" w:oddVBand="0" w:evenVBand="0" w:oddHBand="0" w:evenHBand="0" w:firstRowFirstColumn="0" w:firstRowLastColumn="0" w:lastRowFirstColumn="0" w:lastRowLastColumn="0"/>
              <w:rPr>
                <w:sz w:val="22"/>
                <w:szCs w:val="22"/>
              </w:rPr>
            </w:pPr>
            <w:r w:rsidRPr="00087B4C">
              <w:rPr>
                <w:sz w:val="22"/>
                <w:szCs w:val="22"/>
              </w:rPr>
              <w:t xml:space="preserve">FSANZ set the existing permitted maximum levels of </w:t>
            </w:r>
            <w:r w:rsidRPr="00D264B0">
              <w:rPr>
                <w:sz w:val="22"/>
                <w:szCs w:val="22"/>
              </w:rPr>
              <w:t xml:space="preserve">2′-FL and LNnT in the Code after </w:t>
            </w:r>
            <w:r w:rsidRPr="00087B4C">
              <w:rPr>
                <w:sz w:val="22"/>
                <w:szCs w:val="22"/>
              </w:rPr>
              <w:t xml:space="preserve">undertaking a </w:t>
            </w:r>
            <w:r w:rsidRPr="00D264B0">
              <w:rPr>
                <w:sz w:val="22"/>
                <w:szCs w:val="22"/>
              </w:rPr>
              <w:t>safety, technical and health effects assessment, including estimated dietary intakes and naturally occurring levels in human milk.</w:t>
            </w:r>
          </w:p>
          <w:p w14:paraId="651C790E" w14:textId="40F63912" w:rsidR="003906C9" w:rsidRPr="006C6A6B" w:rsidRDefault="00ED7FA8" w:rsidP="00087B4C">
            <w:pPr>
              <w:spacing w:before="120" w:after="120"/>
              <w:cnfStyle w:val="000000000000" w:firstRow="0" w:lastRow="0" w:firstColumn="0" w:lastColumn="0" w:oddVBand="0" w:evenVBand="0" w:oddHBand="0" w:evenHBand="0" w:firstRowFirstColumn="0" w:firstRowLastColumn="0" w:lastRowFirstColumn="0" w:lastRowLastColumn="0"/>
            </w:pPr>
            <w:r>
              <w:t>It is noted that internationally, the permitted levels of 2′-FL for use in infant formula and follow-on formula range from 1.2 g/L to 2.4 g/L. FSANZ considered that approving a higher level of 2.4 g/L of 2′-FL alone or with 0.6 mg/L LNnT in Australia and New Zealand would therefore provide greater compatibility with a wider range of overseas food standards and allow for a more efficient and internationally competitive food industry given the high level of international interest in these substances.</w:t>
            </w:r>
          </w:p>
        </w:tc>
      </w:tr>
      <w:tr w:rsidR="000B74E8" w:rsidRPr="006C6A6B" w14:paraId="0185EB3C" w14:textId="77777777" w:rsidTr="000B74E8">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73A40C5" w14:textId="77777777" w:rsidR="000B74E8" w:rsidRPr="006C6A6B" w:rsidRDefault="000B74E8" w:rsidP="00C9746D">
            <w:pPr>
              <w:keepNext/>
              <w:spacing w:before="120" w:after="120"/>
            </w:pPr>
          </w:p>
        </w:tc>
        <w:tc>
          <w:tcPr>
            <w:tcW w:w="13430" w:type="dxa"/>
            <w:gridSpan w:val="3"/>
          </w:tcPr>
          <w:p w14:paraId="70D39EF4" w14:textId="31BD2410" w:rsidR="000B74E8" w:rsidRPr="006C6A6B" w:rsidRDefault="000B74E8" w:rsidP="00C9746D">
            <w:pPr>
              <w:pStyle w:val="FSTableHeading"/>
              <w:keepNext/>
              <w:spacing w:before="120" w:after="120"/>
              <w:cnfStyle w:val="000000100000" w:firstRow="0" w:lastRow="0" w:firstColumn="0" w:lastColumn="0" w:oddVBand="0" w:evenVBand="0" w:oddHBand="1" w:evenHBand="0" w:firstRowFirstColumn="0" w:firstRowLastColumn="0" w:lastRowFirstColumn="0" w:lastRowLastColumn="0"/>
            </w:pPr>
            <w:r w:rsidRPr="0058423E">
              <w:rPr>
                <w:sz w:val="24"/>
              </w:rPr>
              <w:t xml:space="preserve">Labelling </w:t>
            </w:r>
            <w:r w:rsidR="0074216C">
              <w:rPr>
                <w:sz w:val="24"/>
              </w:rPr>
              <w:t>Requirements</w:t>
            </w:r>
          </w:p>
        </w:tc>
      </w:tr>
      <w:tr w:rsidR="000B74E8" w:rsidRPr="006C6A6B" w14:paraId="5E959366" w14:textId="77777777" w:rsidTr="00DA0DBB">
        <w:trPr>
          <w:trHeight w:val="46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99E0231" w14:textId="77777777" w:rsidR="000B74E8" w:rsidRPr="006C6A6B" w:rsidRDefault="000B74E8" w:rsidP="00B909CA">
            <w:pPr>
              <w:pStyle w:val="ListParagraph"/>
              <w:widowControl/>
              <w:numPr>
                <w:ilvl w:val="0"/>
                <w:numId w:val="28"/>
              </w:numPr>
              <w:autoSpaceDE w:val="0"/>
              <w:autoSpaceDN w:val="0"/>
              <w:adjustRightInd w:val="0"/>
              <w:spacing w:before="120" w:after="120"/>
              <w:contextualSpacing w:val="0"/>
              <w:jc w:val="center"/>
              <w:rPr>
                <w:rFonts w:eastAsia="ArialMT"/>
              </w:rPr>
            </w:pPr>
          </w:p>
        </w:tc>
        <w:tc>
          <w:tcPr>
            <w:tcW w:w="5608" w:type="dxa"/>
          </w:tcPr>
          <w:p w14:paraId="11C2CF5E" w14:textId="03C25F6C" w:rsidR="000F069B" w:rsidRDefault="000B74E8" w:rsidP="000F069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ArialMT"/>
              </w:rPr>
            </w:pPr>
            <w:r w:rsidRPr="006C6A6B">
              <w:rPr>
                <w:rFonts w:eastAsia="ArialMT"/>
              </w:rPr>
              <w:t xml:space="preserve">Industry submitters opposed the existing prohibition on the use of the words ‘human milk identical oligosaccharide’ or ‘human milk oligosaccharide’, and </w:t>
            </w:r>
            <w:r w:rsidRPr="006C6A6B">
              <w:rPr>
                <w:rFonts w:eastAsia="ArialMT"/>
              </w:rPr>
              <w:lastRenderedPageBreak/>
              <w:t>abbreviations ‘HMO’, ‘HiMO’, or any word or words or abbreviations having the same or similar effect on the labels of IFP</w:t>
            </w:r>
            <w:r w:rsidR="00053E84">
              <w:rPr>
                <w:rFonts w:eastAsia="ArialMT"/>
              </w:rPr>
              <w:t xml:space="preserve">. This view was held </w:t>
            </w:r>
            <w:r w:rsidRPr="006C6A6B">
              <w:rPr>
                <w:rFonts w:eastAsia="ArialMT"/>
              </w:rPr>
              <w:t xml:space="preserve">for </w:t>
            </w:r>
            <w:r w:rsidR="00053E84">
              <w:rPr>
                <w:rFonts w:eastAsia="ArialMT"/>
              </w:rPr>
              <w:t xml:space="preserve">a variety of reasons, including </w:t>
            </w:r>
            <w:r w:rsidR="000F069B">
              <w:rPr>
                <w:rFonts w:eastAsia="ArialMT"/>
              </w:rPr>
              <w:t xml:space="preserve">historical use of such terms in scientific literature, consumer understanding and trade issues. </w:t>
            </w:r>
          </w:p>
          <w:p w14:paraId="3D4EC2E0" w14:textId="63D587AC" w:rsidR="000B74E8" w:rsidRPr="006C6A6B" w:rsidRDefault="000B74E8" w:rsidP="000F069B">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eastAsia="ArialMT"/>
              </w:rPr>
            </w:pPr>
            <w:r w:rsidRPr="006C6A6B">
              <w:rPr>
                <w:rFonts w:eastAsia="ArialMT"/>
              </w:rPr>
              <w:t xml:space="preserve">Government submitters supported the existing prohibition, with one submitter noting the prohibition should also apply to FSFYC if 2′-FL was permitted for voluntary addition under Option 3. </w:t>
            </w:r>
          </w:p>
        </w:tc>
        <w:tc>
          <w:tcPr>
            <w:tcW w:w="1480" w:type="dxa"/>
          </w:tcPr>
          <w:p w14:paraId="6FC86E43" w14:textId="56BE4C1D" w:rsidR="0074216C"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lastRenderedPageBreak/>
              <w:t>INC</w:t>
            </w:r>
          </w:p>
          <w:p w14:paraId="2BF61793" w14:textId="77777777" w:rsidR="004066E7" w:rsidRPr="006C6A6B" w:rsidRDefault="004066E7" w:rsidP="004066E7">
            <w:pPr>
              <w:spacing w:before="120" w:after="120"/>
              <w:cnfStyle w:val="000000000000" w:firstRow="0" w:lastRow="0" w:firstColumn="0" w:lastColumn="0" w:oddVBand="0" w:evenVBand="0" w:oddHBand="0" w:evenHBand="0" w:firstRowFirstColumn="0" w:firstRowLastColumn="0" w:lastRowFirstColumn="0" w:lastRowLastColumn="0"/>
            </w:pPr>
            <w:r>
              <w:t>Nestlé</w:t>
            </w:r>
          </w:p>
          <w:p w14:paraId="329FE580" w14:textId="43A4CDCA" w:rsidR="0074216C" w:rsidRDefault="000B74E8" w:rsidP="004066E7">
            <w:pPr>
              <w:spacing w:before="120" w:after="120"/>
              <w:cnfStyle w:val="000000000000" w:firstRow="0" w:lastRow="0" w:firstColumn="0" w:lastColumn="0" w:oddVBand="0" w:evenVBand="0" w:oddHBand="0" w:evenHBand="0" w:firstRowFirstColumn="0" w:firstRowLastColumn="0" w:lastRowFirstColumn="0" w:lastRowLastColumn="0"/>
            </w:pPr>
            <w:r w:rsidRPr="006C6A6B">
              <w:lastRenderedPageBreak/>
              <w:t>NZFGC</w:t>
            </w:r>
          </w:p>
          <w:p w14:paraId="15C8F414" w14:textId="77777777" w:rsidR="00434C8B" w:rsidRDefault="00434C8B"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AFGC</w:t>
            </w:r>
          </w:p>
          <w:p w14:paraId="1196DCD4" w14:textId="1E78A7C5" w:rsidR="000B74E8" w:rsidRPr="006C6A6B" w:rsidRDefault="000B74E8" w:rsidP="00B909CA">
            <w:pPr>
              <w:spacing w:before="120" w:after="120"/>
              <w:cnfStyle w:val="000000000000" w:firstRow="0" w:lastRow="0" w:firstColumn="0" w:lastColumn="0" w:oddVBand="0" w:evenVBand="0" w:oddHBand="0" w:evenHBand="0" w:firstRowFirstColumn="0" w:firstRowLastColumn="0" w:lastRowFirstColumn="0" w:lastRowLastColumn="0"/>
            </w:pPr>
            <w:r w:rsidRPr="006C6A6B">
              <w:t>Nutricia</w:t>
            </w:r>
          </w:p>
          <w:p w14:paraId="202329CC" w14:textId="68DFAEFF" w:rsidR="0074216C" w:rsidRDefault="000B74E8" w:rsidP="00C41213">
            <w:pPr>
              <w:spacing w:before="120" w:after="120"/>
              <w:cnfStyle w:val="000000000000" w:firstRow="0" w:lastRow="0" w:firstColumn="0" w:lastColumn="0" w:oddVBand="0" w:evenVBand="0" w:oddHBand="0" w:evenHBand="0" w:firstRowFirstColumn="0" w:firstRowLastColumn="0" w:lastRowFirstColumn="0" w:lastRowLastColumn="0"/>
            </w:pPr>
            <w:r w:rsidRPr="006C6A6B">
              <w:t>DGC</w:t>
            </w:r>
          </w:p>
          <w:p w14:paraId="1A557D9F" w14:textId="0A3256D1" w:rsidR="0074216C" w:rsidRDefault="000B74E8">
            <w:pPr>
              <w:spacing w:before="120" w:after="120"/>
              <w:cnfStyle w:val="000000000000" w:firstRow="0" w:lastRow="0" w:firstColumn="0" w:lastColumn="0" w:oddVBand="0" w:evenVBand="0" w:oddHBand="0" w:evenHBand="0" w:firstRowFirstColumn="0" w:firstRowLastColumn="0" w:lastRowFirstColumn="0" w:lastRowLastColumn="0"/>
            </w:pPr>
            <w:r w:rsidRPr="006C6A6B">
              <w:t>TAS PHS</w:t>
            </w:r>
          </w:p>
          <w:p w14:paraId="467105BA" w14:textId="5B4EFCFD" w:rsidR="0074216C" w:rsidRDefault="000B74E8">
            <w:pPr>
              <w:spacing w:before="120" w:after="120"/>
              <w:cnfStyle w:val="000000000000" w:firstRow="0" w:lastRow="0" w:firstColumn="0" w:lastColumn="0" w:oddVBand="0" w:evenVBand="0" w:oddHBand="0" w:evenHBand="0" w:firstRowFirstColumn="0" w:firstRowLastColumn="0" w:lastRowFirstColumn="0" w:lastRowLastColumn="0"/>
            </w:pPr>
            <w:r w:rsidRPr="006C6A6B">
              <w:t>VIC DHHS</w:t>
            </w:r>
          </w:p>
          <w:p w14:paraId="63A26623" w14:textId="61774299" w:rsidR="000B74E8" w:rsidRPr="006C6A6B" w:rsidRDefault="000B74E8">
            <w:pPr>
              <w:spacing w:before="120" w:after="120"/>
              <w:cnfStyle w:val="000000000000" w:firstRow="0" w:lastRow="0" w:firstColumn="0" w:lastColumn="0" w:oddVBand="0" w:evenVBand="0" w:oddHBand="0" w:evenHBand="0" w:firstRowFirstColumn="0" w:firstRowLastColumn="0" w:lastRowFirstColumn="0" w:lastRowLastColumn="0"/>
            </w:pPr>
            <w:r w:rsidRPr="006C6A6B">
              <w:t>NZFS</w:t>
            </w:r>
          </w:p>
        </w:tc>
        <w:tc>
          <w:tcPr>
            <w:tcW w:w="6342" w:type="dxa"/>
          </w:tcPr>
          <w:p w14:paraId="2B74B469" w14:textId="650A162D" w:rsidR="00B948EE" w:rsidRPr="00721E6E" w:rsidRDefault="00721E6E" w:rsidP="00087B4C">
            <w:pPr>
              <w:pStyle w:val="CommentText"/>
              <w:spacing w:beforeLines="50" w:before="120" w:afterLines="50" w:after="120"/>
              <w:cnfStyle w:val="000000000000" w:firstRow="0" w:lastRow="0" w:firstColumn="0" w:lastColumn="0" w:oddVBand="0" w:evenVBand="0" w:oddHBand="0" w:evenHBand="0" w:firstRowFirstColumn="0" w:firstRowLastColumn="0" w:lastRowFirstColumn="0" w:lastRowLastColumn="0"/>
              <w:rPr>
                <w:sz w:val="22"/>
                <w:szCs w:val="22"/>
              </w:rPr>
            </w:pPr>
            <w:r w:rsidRPr="008A70D2">
              <w:rPr>
                <w:sz w:val="22"/>
              </w:rPr>
              <w:lastRenderedPageBreak/>
              <w:t>FSANZ notes the comments</w:t>
            </w:r>
            <w:r w:rsidRPr="00721E6E">
              <w:rPr>
                <w:sz w:val="22"/>
              </w:rPr>
              <w:t>.</w:t>
            </w:r>
            <w:r w:rsidRPr="008A70D2" w:rsidDel="00721E6E">
              <w:rPr>
                <w:sz w:val="24"/>
                <w:szCs w:val="22"/>
              </w:rPr>
              <w:t xml:space="preserve"> </w:t>
            </w:r>
            <w:r w:rsidR="00E2032B" w:rsidRPr="00721E6E">
              <w:rPr>
                <w:sz w:val="22"/>
                <w:szCs w:val="22"/>
              </w:rPr>
              <w:t>T</w:t>
            </w:r>
            <w:r w:rsidR="00B948EE" w:rsidRPr="00721E6E">
              <w:rPr>
                <w:sz w:val="22"/>
                <w:szCs w:val="22"/>
              </w:rPr>
              <w:t xml:space="preserve">he existing prohibition </w:t>
            </w:r>
            <w:r w:rsidR="00E2032B" w:rsidRPr="00721E6E">
              <w:rPr>
                <w:sz w:val="22"/>
                <w:szCs w:val="22"/>
              </w:rPr>
              <w:t xml:space="preserve">for </w:t>
            </w:r>
            <w:r w:rsidR="008F78B6" w:rsidRPr="00721E6E">
              <w:rPr>
                <w:sz w:val="22"/>
                <w:szCs w:val="22"/>
              </w:rPr>
              <w:t>this terminology</w:t>
            </w:r>
            <w:r w:rsidR="00E2032B" w:rsidRPr="00721E6E">
              <w:rPr>
                <w:sz w:val="22"/>
                <w:szCs w:val="22"/>
              </w:rPr>
              <w:t xml:space="preserve"> </w:t>
            </w:r>
            <w:r w:rsidR="00B948EE" w:rsidRPr="00721E6E">
              <w:rPr>
                <w:sz w:val="22"/>
                <w:szCs w:val="22"/>
              </w:rPr>
              <w:t>is consistent with</w:t>
            </w:r>
            <w:r w:rsidR="001B149F" w:rsidRPr="00721E6E">
              <w:rPr>
                <w:sz w:val="22"/>
                <w:szCs w:val="22"/>
              </w:rPr>
              <w:t xml:space="preserve"> policy principle</w:t>
            </w:r>
            <w:r w:rsidR="00B948EE" w:rsidRPr="00721E6E">
              <w:rPr>
                <w:sz w:val="22"/>
                <w:szCs w:val="22"/>
              </w:rPr>
              <w:t xml:space="preserve"> (l) of the FMM’s Ministerial Policy Guideline on </w:t>
            </w:r>
            <w:r w:rsidR="00B948EE" w:rsidRPr="00721E6E">
              <w:rPr>
                <w:i/>
                <w:sz w:val="22"/>
                <w:szCs w:val="22"/>
              </w:rPr>
              <w:t xml:space="preserve">Regulation of Infant Formula </w:t>
            </w:r>
            <w:r w:rsidR="00B948EE" w:rsidRPr="00721E6E">
              <w:rPr>
                <w:i/>
                <w:sz w:val="22"/>
                <w:szCs w:val="22"/>
              </w:rPr>
              <w:lastRenderedPageBreak/>
              <w:t>Products</w:t>
            </w:r>
            <w:r w:rsidR="00087B4C" w:rsidRPr="00721E6E">
              <w:rPr>
                <w:sz w:val="22"/>
                <w:szCs w:val="22"/>
              </w:rPr>
              <w:t>, which states:</w:t>
            </w:r>
          </w:p>
          <w:p w14:paraId="4318EE2C" w14:textId="5280776A" w:rsidR="00B948EE" w:rsidRPr="00721E6E" w:rsidRDefault="00B948EE" w:rsidP="00087B4C">
            <w:pPr>
              <w:pStyle w:val="CommentText"/>
              <w:spacing w:beforeLines="50" w:before="120" w:afterLines="50" w:after="120"/>
              <w:cnfStyle w:val="000000000000" w:firstRow="0" w:lastRow="0" w:firstColumn="0" w:lastColumn="0" w:oddVBand="0" w:evenVBand="0" w:oddHBand="0" w:evenHBand="0" w:firstRowFirstColumn="0" w:firstRowLastColumn="0" w:lastRowFirstColumn="0" w:lastRowLastColumn="0"/>
              <w:rPr>
                <w:sz w:val="22"/>
                <w:szCs w:val="22"/>
              </w:rPr>
            </w:pPr>
            <w:r w:rsidRPr="00721E6E">
              <w:rPr>
                <w:i/>
                <w:sz w:val="22"/>
                <w:szCs w:val="22"/>
              </w:rPr>
              <w:t>The labelling and advertising of infant formula products should not represent those products as an equivalent to, or better food than, breastmilk</w:t>
            </w:r>
            <w:r w:rsidR="00087B4C" w:rsidRPr="00721E6E">
              <w:rPr>
                <w:sz w:val="22"/>
                <w:szCs w:val="22"/>
              </w:rPr>
              <w:t>.</w:t>
            </w:r>
          </w:p>
          <w:p w14:paraId="7B70E526" w14:textId="4EDA1801" w:rsidR="00B948EE" w:rsidRPr="00721E6E" w:rsidRDefault="00B948EE" w:rsidP="00087B4C">
            <w:pPr>
              <w:pStyle w:val="CommentText"/>
              <w:spacing w:beforeLines="50" w:before="120" w:afterLines="50" w:after="120"/>
              <w:cnfStyle w:val="000000000000" w:firstRow="0" w:lastRow="0" w:firstColumn="0" w:lastColumn="0" w:oddVBand="0" w:evenVBand="0" w:oddHBand="0" w:evenHBand="0" w:firstRowFirstColumn="0" w:firstRowLastColumn="0" w:lastRowFirstColumn="0" w:lastRowLastColumn="0"/>
              <w:rPr>
                <w:sz w:val="22"/>
                <w:szCs w:val="22"/>
              </w:rPr>
            </w:pPr>
            <w:r w:rsidRPr="00721E6E">
              <w:rPr>
                <w:sz w:val="22"/>
                <w:szCs w:val="22"/>
              </w:rPr>
              <w:t>In addition, prohibi</w:t>
            </w:r>
            <w:r w:rsidR="005D0EEA" w:rsidRPr="00721E6E">
              <w:rPr>
                <w:sz w:val="22"/>
                <w:szCs w:val="22"/>
              </w:rPr>
              <w:t>tions for IFP:</w:t>
            </w:r>
            <w:r w:rsidR="00087B4C" w:rsidRPr="00721E6E">
              <w:rPr>
                <w:sz w:val="22"/>
                <w:szCs w:val="22"/>
              </w:rPr>
              <w:t xml:space="preserve"> </w:t>
            </w:r>
          </w:p>
          <w:p w14:paraId="3513E8DA" w14:textId="09737532" w:rsidR="00B948EE" w:rsidRPr="00721E6E" w:rsidRDefault="00B948EE" w:rsidP="001B149F">
            <w:pPr>
              <w:pStyle w:val="AARBullet"/>
              <w:cnfStyle w:val="000000000000" w:firstRow="0" w:lastRow="0" w:firstColumn="0" w:lastColumn="0" w:oddVBand="0" w:evenVBand="0" w:oddHBand="0" w:evenHBand="0" w:firstRowFirstColumn="0" w:firstRowLastColumn="0" w:lastRowFirstColumn="0" w:lastRowLastColumn="0"/>
              <w:rPr>
                <w:sz w:val="22"/>
                <w:szCs w:val="22"/>
              </w:rPr>
            </w:pPr>
            <w:r w:rsidRPr="00721E6E">
              <w:rPr>
                <w:sz w:val="22"/>
                <w:szCs w:val="22"/>
              </w:rPr>
              <w:t>are consistent with the World Health Organization International Code of Marketing of Breast Milk Substitutes as implemented in Australia and New Zealand</w:t>
            </w:r>
          </w:p>
          <w:p w14:paraId="32FF66CA" w14:textId="58C7EB65" w:rsidR="00B948EE" w:rsidRPr="00087B4C" w:rsidRDefault="00B948EE" w:rsidP="001B149F">
            <w:pPr>
              <w:pStyle w:val="AARBullet"/>
              <w:cnfStyle w:val="000000000000" w:firstRow="0" w:lastRow="0" w:firstColumn="0" w:lastColumn="0" w:oddVBand="0" w:evenVBand="0" w:oddHBand="0" w:evenHBand="0" w:firstRowFirstColumn="0" w:firstRowLastColumn="0" w:lastRowFirstColumn="0" w:lastRowLastColumn="0"/>
            </w:pPr>
            <w:r w:rsidRPr="008F78B6">
              <w:rPr>
                <w:sz w:val="22"/>
                <w:szCs w:val="22"/>
              </w:rPr>
              <w:t>ensure that the products cannot be represented as an equivalent t</w:t>
            </w:r>
            <w:r w:rsidR="00087B4C" w:rsidRPr="008F78B6">
              <w:rPr>
                <w:sz w:val="22"/>
                <w:szCs w:val="22"/>
              </w:rPr>
              <w:t>o, or better than, breast milk</w:t>
            </w:r>
            <w:r w:rsidR="00087B4C" w:rsidRPr="00087B4C">
              <w:t>.</w:t>
            </w:r>
          </w:p>
          <w:p w14:paraId="0F746051" w14:textId="343590CA" w:rsidR="00B948EE" w:rsidRPr="00087B4C" w:rsidRDefault="00B948EE" w:rsidP="00087B4C">
            <w:pPr>
              <w:pStyle w:val="CommentText"/>
              <w:spacing w:beforeLines="50" w:before="120" w:afterLines="50" w:after="120"/>
              <w:cnfStyle w:val="000000000000" w:firstRow="0" w:lastRow="0" w:firstColumn="0" w:lastColumn="0" w:oddVBand="0" w:evenVBand="0" w:oddHBand="0" w:evenHBand="0" w:firstRowFirstColumn="0" w:firstRowLastColumn="0" w:lastRowFirstColumn="0" w:lastRowLastColumn="0"/>
              <w:rPr>
                <w:sz w:val="22"/>
                <w:szCs w:val="22"/>
              </w:rPr>
            </w:pPr>
            <w:r w:rsidRPr="00087B4C">
              <w:rPr>
                <w:sz w:val="22"/>
                <w:szCs w:val="22"/>
              </w:rPr>
              <w:t xml:space="preserve">FSANZ also notes the Code already contains examples of limitations placed on voluntary representations (for example, restrictions on representations of low alcohol, of the words ‘non-intoxicating’ and that a food containing alcohol is non-alcoholic). </w:t>
            </w:r>
          </w:p>
          <w:p w14:paraId="76384216" w14:textId="77777777" w:rsidR="001B149F" w:rsidRDefault="00B948EE" w:rsidP="001B149F">
            <w:pPr>
              <w:spacing w:beforeLines="50" w:before="120" w:afterLines="50" w:after="120"/>
              <w:cnfStyle w:val="000000000000" w:firstRow="0" w:lastRow="0" w:firstColumn="0" w:lastColumn="0" w:oddVBand="0" w:evenVBand="0" w:oddHBand="0" w:evenHBand="0" w:firstRowFirstColumn="0" w:firstRowLastColumn="0" w:lastRowFirstColumn="0" w:lastRowLastColumn="0"/>
            </w:pPr>
            <w:r>
              <w:t>These restrictions are in place to reduce the risk of misleading consumers. When assessing ‘risk’ FSANZ considers the potential for risk as well as the evidence for risk in the context of the current environment, situation and relevant issues including possible effects on consumers and the community</w:t>
            </w:r>
            <w:r w:rsidR="008F78B6">
              <w:t>.</w:t>
            </w:r>
          </w:p>
          <w:p w14:paraId="68354499" w14:textId="5B7FA147" w:rsidR="000B74E8" w:rsidRPr="006C6A6B" w:rsidRDefault="001B149F" w:rsidP="001B149F">
            <w:pPr>
              <w:spacing w:beforeLines="50" w:before="120" w:afterLines="50" w:after="120"/>
              <w:cnfStyle w:val="000000000000" w:firstRow="0" w:lastRow="0" w:firstColumn="0" w:lastColumn="0" w:oddVBand="0" w:evenVBand="0" w:oddHBand="0" w:evenHBand="0" w:firstRowFirstColumn="0" w:firstRowLastColumn="0" w:lastRowFirstColumn="0" w:lastRowLastColumn="0"/>
            </w:pPr>
            <w:r w:rsidRPr="006C6A6B">
              <w:t xml:space="preserve">Further, this labelling approach was an important consideration in the Ministers’ decision to allow the addition of 2′-FL and LnNT to IFP. </w:t>
            </w:r>
          </w:p>
        </w:tc>
      </w:tr>
    </w:tbl>
    <w:p w14:paraId="1964B9EC" w14:textId="33747E70" w:rsidR="000B74E8" w:rsidRDefault="000B74E8" w:rsidP="000B74E8">
      <w:bookmarkStart w:id="73" w:name="_Toc73104823"/>
      <w:bookmarkStart w:id="74" w:name="_Toc77338770"/>
      <w:bookmarkStart w:id="75" w:name="_Toc370223473"/>
      <w:bookmarkStart w:id="76" w:name="_Toc370225388"/>
      <w:bookmarkStart w:id="77" w:name="_Toc175381450"/>
      <w:bookmarkEnd w:id="67"/>
      <w:bookmarkEnd w:id="68"/>
      <w:bookmarkEnd w:id="69"/>
      <w:bookmarkEnd w:id="70"/>
      <w:bookmarkEnd w:id="71"/>
      <w:bookmarkEnd w:id="72"/>
      <w:r>
        <w:lastRenderedPageBreak/>
        <w:br w:type="page"/>
      </w:r>
    </w:p>
    <w:p w14:paraId="28F65430" w14:textId="77777777" w:rsidR="000B74E8" w:rsidRDefault="000B74E8" w:rsidP="000B74E8">
      <w:pPr>
        <w:sectPr w:rsidR="000B74E8" w:rsidSect="000B74E8">
          <w:pgSz w:w="16838" w:h="11906" w:orient="landscape" w:code="9"/>
          <w:pgMar w:top="1418" w:right="1418" w:bottom="1418" w:left="1418" w:header="709" w:footer="709" w:gutter="0"/>
          <w:cols w:space="708"/>
          <w:docGrid w:linePitch="360"/>
        </w:sectPr>
      </w:pPr>
    </w:p>
    <w:p w14:paraId="2897A64A" w14:textId="12725169" w:rsidR="00A7422F" w:rsidRPr="00DE5CC1" w:rsidRDefault="00246EBF" w:rsidP="00246EBF">
      <w:pPr>
        <w:pStyle w:val="Heading2"/>
      </w:pPr>
      <w:bookmarkStart w:id="78" w:name="_Toc81995092"/>
      <w:r>
        <w:lastRenderedPageBreak/>
        <w:t>2.</w:t>
      </w:r>
      <w:r w:rsidR="00B67FD8">
        <w:t>2</w:t>
      </w:r>
      <w:r w:rsidR="00A7422F" w:rsidRPr="00DE5CC1">
        <w:tab/>
        <w:t>Risk and safety assessment</w:t>
      </w:r>
      <w:bookmarkEnd w:id="73"/>
      <w:bookmarkEnd w:id="74"/>
      <w:bookmarkEnd w:id="78"/>
      <w:r w:rsidR="00A7422F" w:rsidRPr="00DE5CC1">
        <w:t xml:space="preserve"> </w:t>
      </w:r>
    </w:p>
    <w:p w14:paraId="2E9E7671" w14:textId="761FF1F1" w:rsidR="00A7422F" w:rsidRDefault="00A7422F" w:rsidP="00510B7A">
      <w:pPr>
        <w:widowControl/>
        <w:spacing w:before="120" w:after="120"/>
      </w:pPr>
      <w:r>
        <w:t xml:space="preserve">The ingredient under assessment is an oligosaccharide </w:t>
      </w:r>
      <w:r w:rsidRPr="004777D4">
        <w:t>2</w:t>
      </w:r>
      <w:r w:rsidRPr="004777D4">
        <w:rPr>
          <w:rFonts w:cs="Arial"/>
        </w:rPr>
        <w:t>′</w:t>
      </w:r>
      <w:r w:rsidRPr="004777D4">
        <w:t>-</w:t>
      </w:r>
      <w:r w:rsidRPr="004777D4" w:rsidDel="008019EA">
        <w:t>fucosyllactose</w:t>
      </w:r>
      <w:r>
        <w:rPr>
          <w:rStyle w:val="FootnoteReference"/>
        </w:rPr>
        <w:footnoteReference w:id="18"/>
      </w:r>
      <w:r w:rsidRPr="004777D4">
        <w:t xml:space="preserve"> (2′-FL)</w:t>
      </w:r>
      <w:r>
        <w:t xml:space="preserve">, commonly found in human milk. There is already a permission in the Code to add </w:t>
      </w:r>
      <w:r w:rsidRPr="004777D4">
        <w:t>2′-FL</w:t>
      </w:r>
      <w:r>
        <w:t xml:space="preserve"> derived</w:t>
      </w:r>
      <w:r w:rsidRPr="0030376E">
        <w:t xml:space="preserve"> from </w:t>
      </w:r>
      <w:r w:rsidRPr="00F5753C">
        <w:rPr>
          <w:i/>
        </w:rPr>
        <w:t>E. coli</w:t>
      </w:r>
      <w:r w:rsidRPr="0030376E">
        <w:t xml:space="preserve"> K-12</w:t>
      </w:r>
      <w:r>
        <w:t xml:space="preserve"> to IFP to a maximum level of 96 mg/100 kJ or 2.4 g/L. The applicant for A1190 is proposing the addition of 2 g/L. While a permission for </w:t>
      </w:r>
      <w:r w:rsidRPr="004777D4">
        <w:t>2′-FL</w:t>
      </w:r>
      <w:r>
        <w:t xml:space="preserve"> exists in the Code, the source and specifications of this particular </w:t>
      </w:r>
      <w:r w:rsidRPr="004777D4">
        <w:t>2′-FL</w:t>
      </w:r>
      <w:r>
        <w:t xml:space="preserve"> is different and thus re</w:t>
      </w:r>
      <w:r w:rsidR="00510B7A">
        <w:t>quires a pre-market assessment.</w:t>
      </w:r>
    </w:p>
    <w:p w14:paraId="7FF7847E" w14:textId="3A4751FA" w:rsidR="00A7422F" w:rsidRDefault="00A7422F" w:rsidP="00510B7A">
      <w:pPr>
        <w:widowControl/>
        <w:spacing w:before="120" w:after="120"/>
      </w:pPr>
      <w:r w:rsidRPr="004777D4">
        <w:t>2′-FL</w:t>
      </w:r>
      <w:r>
        <w:t xml:space="preserve"> is manufactured by fermentation, using a unique </w:t>
      </w:r>
      <w:r w:rsidR="00FA19AA">
        <w:t>GM</w:t>
      </w:r>
      <w:r>
        <w:t xml:space="preserve"> bacterium. A </w:t>
      </w:r>
      <w:r w:rsidRPr="00565D3D">
        <w:rPr>
          <w:b/>
          <w:i/>
        </w:rPr>
        <w:t>microbiological assessment</w:t>
      </w:r>
      <w:r>
        <w:t xml:space="preserve"> concluded that the host strain has a recognised safe history of use. It is </w:t>
      </w:r>
      <w:r w:rsidR="0005642E">
        <w:t xml:space="preserve">sourced </w:t>
      </w:r>
      <w:r>
        <w:t xml:space="preserve">from </w:t>
      </w:r>
      <w:r w:rsidRPr="004777D4">
        <w:rPr>
          <w:i/>
        </w:rPr>
        <w:t>E</w:t>
      </w:r>
      <w:r>
        <w:rPr>
          <w:i/>
        </w:rPr>
        <w:t>.</w:t>
      </w:r>
      <w:r w:rsidRPr="004777D4">
        <w:rPr>
          <w:i/>
        </w:rPr>
        <w:t xml:space="preserve"> coli</w:t>
      </w:r>
      <w:r w:rsidRPr="004777D4">
        <w:t xml:space="preserve"> BL21</w:t>
      </w:r>
      <w:r>
        <w:t xml:space="preserve">, which is commonly used for large-scale production of industrial compounds and human therapeutics. It is neither pathogenic nor toxigenic. A </w:t>
      </w:r>
      <w:r w:rsidRPr="00565D3D">
        <w:rPr>
          <w:b/>
          <w:i/>
        </w:rPr>
        <w:t>biotechnology assessment</w:t>
      </w:r>
      <w:r>
        <w:t xml:space="preserve"> found the production strains were as stated</w:t>
      </w:r>
      <w:r w:rsidR="00510B7A">
        <w:t xml:space="preserve"> by the applicant and are safe.</w:t>
      </w:r>
    </w:p>
    <w:p w14:paraId="608DA54C" w14:textId="6333494D" w:rsidR="00A7422F" w:rsidRDefault="00A7422F" w:rsidP="00510B7A">
      <w:pPr>
        <w:widowControl/>
        <w:spacing w:before="120" w:after="120"/>
      </w:pPr>
      <w:r>
        <w:t xml:space="preserve">A </w:t>
      </w:r>
      <w:r w:rsidRPr="00565D3D">
        <w:rPr>
          <w:b/>
          <w:i/>
        </w:rPr>
        <w:t>biochemical assessment</w:t>
      </w:r>
      <w:r>
        <w:t xml:space="preserve"> determined the </w:t>
      </w:r>
      <w:r w:rsidRPr="00990C8B">
        <w:t>2′-FL</w:t>
      </w:r>
      <w:r>
        <w:t xml:space="preserve"> sourced from the microbial fermentation was shown to be</w:t>
      </w:r>
      <w:r w:rsidRPr="00990C8B">
        <w:t xml:space="preserve"> chemically and structurally identical to the naturally occurring 2′-FL in human milk. </w:t>
      </w:r>
      <w:r>
        <w:t>The final product was shown to be free of fermentation-derived contaminants. The purity and other constituents of the final product have been identified and listed in the specification for the product</w:t>
      </w:r>
      <w:r w:rsidRPr="00990C8B">
        <w:t>. The shelf-life and specifications are appropriate for addition to IFP and FSFYC.</w:t>
      </w:r>
    </w:p>
    <w:p w14:paraId="097D5DE4" w14:textId="77B46CA9" w:rsidR="00A7422F" w:rsidRDefault="00A7422F" w:rsidP="00510B7A">
      <w:pPr>
        <w:widowControl/>
        <w:spacing w:before="120" w:after="120"/>
      </w:pPr>
      <w:r>
        <w:t xml:space="preserve">A </w:t>
      </w:r>
      <w:r w:rsidRPr="00565D3D">
        <w:rPr>
          <w:b/>
          <w:i/>
        </w:rPr>
        <w:t xml:space="preserve">dietary </w:t>
      </w:r>
      <w:r w:rsidRPr="00565D3D">
        <w:rPr>
          <w:b/>
          <w:bCs/>
          <w:i/>
        </w:rPr>
        <w:t>intake assessment</w:t>
      </w:r>
      <w:r>
        <w:rPr>
          <w:bCs/>
        </w:rPr>
        <w:t xml:space="preserve"> determined</w:t>
      </w:r>
      <w:r w:rsidRPr="00F61AA4">
        <w:rPr>
          <w:bCs/>
        </w:rPr>
        <w:t xml:space="preserve"> </w:t>
      </w:r>
      <w:r>
        <w:rPr>
          <w:bCs/>
        </w:rPr>
        <w:t xml:space="preserve">the requested level of </w:t>
      </w:r>
      <w:r w:rsidRPr="00F61AA4">
        <w:rPr>
          <w:bCs/>
        </w:rPr>
        <w:t>2′-FL</w:t>
      </w:r>
      <w:r>
        <w:rPr>
          <w:bCs/>
        </w:rPr>
        <w:t xml:space="preserve"> </w:t>
      </w:r>
      <w:r>
        <w:t xml:space="preserve">is within the normal </w:t>
      </w:r>
      <w:r w:rsidRPr="00C47EC9">
        <w:t xml:space="preserve">range </w:t>
      </w:r>
      <w:r>
        <w:t xml:space="preserve">of </w:t>
      </w:r>
      <w:r w:rsidRPr="00F61AA4">
        <w:rPr>
          <w:bCs/>
        </w:rPr>
        <w:t>2′-FL</w:t>
      </w:r>
      <w:r>
        <w:rPr>
          <w:bCs/>
        </w:rPr>
        <w:t xml:space="preserve"> reported</w:t>
      </w:r>
      <w:r w:rsidRPr="00F61AA4">
        <w:rPr>
          <w:bCs/>
        </w:rPr>
        <w:t xml:space="preserve"> </w:t>
      </w:r>
      <w:r>
        <w:rPr>
          <w:bCs/>
        </w:rPr>
        <w:t>in human milk (</w:t>
      </w:r>
      <w:r w:rsidRPr="00C47EC9">
        <w:t>0</w:t>
      </w:r>
      <w:r>
        <w:t>.6</w:t>
      </w:r>
      <w:r w:rsidRPr="00C47EC9">
        <w:rPr>
          <w:lang w:val="en-AU"/>
        </w:rPr>
        <w:t xml:space="preserve"> – 7.8 g/L</w:t>
      </w:r>
      <w:r>
        <w:rPr>
          <w:lang w:val="en-AU"/>
        </w:rPr>
        <w:t>).</w:t>
      </w:r>
      <w:r w:rsidRPr="00F61AA4">
        <w:t xml:space="preserve"> </w:t>
      </w:r>
      <w:r>
        <w:t xml:space="preserve">This range is found in the 70-80% of women who have the ability to make </w:t>
      </w:r>
      <w:r w:rsidRPr="00F61AA4">
        <w:rPr>
          <w:bCs/>
        </w:rPr>
        <w:t>2′-FL</w:t>
      </w:r>
      <w:r>
        <w:rPr>
          <w:bCs/>
        </w:rPr>
        <w:t xml:space="preserve">. The </w:t>
      </w:r>
      <w:r>
        <w:t>e</w:t>
      </w:r>
      <w:r w:rsidRPr="00C47EC9">
        <w:t>stimate</w:t>
      </w:r>
      <w:r>
        <w:t>d</w:t>
      </w:r>
      <w:r w:rsidRPr="00C47EC9">
        <w:t xml:space="preserve"> dietary intakes of </w:t>
      </w:r>
      <w:r w:rsidRPr="00C47EC9">
        <w:rPr>
          <w:lang w:val="en-AU"/>
        </w:rPr>
        <w:t>2′-FL</w:t>
      </w:r>
      <w:r w:rsidRPr="00C47EC9">
        <w:t xml:space="preserve"> for infants up to 12 months ranged between 0.1</w:t>
      </w:r>
      <w:r>
        <w:rPr>
          <w:lang w:val="en-AU"/>
        </w:rPr>
        <w:t xml:space="preserve"> – </w:t>
      </w:r>
      <w:r w:rsidRPr="00C47EC9">
        <w:t>0.33 g/kg bw/day at the mean and 0.2</w:t>
      </w:r>
      <w:r>
        <w:rPr>
          <w:lang w:val="en-AU"/>
        </w:rPr>
        <w:t xml:space="preserve"> – </w:t>
      </w:r>
      <w:r w:rsidRPr="00C47EC9">
        <w:t>0.66 g/kg bw/day at the 90</w:t>
      </w:r>
      <w:r w:rsidRPr="00C47EC9">
        <w:rPr>
          <w:vertAlign w:val="superscript"/>
        </w:rPr>
        <w:t>th</w:t>
      </w:r>
      <w:r w:rsidRPr="00C47EC9">
        <w:t xml:space="preserve"> percentile, and for children 2-3 years from 0.077</w:t>
      </w:r>
      <w:r>
        <w:rPr>
          <w:lang w:val="en-AU"/>
        </w:rPr>
        <w:t xml:space="preserve"> – </w:t>
      </w:r>
      <w:r w:rsidRPr="00C47EC9">
        <w:t>0.15 g/kg bw/day at the mean and 0.15</w:t>
      </w:r>
      <w:r>
        <w:rPr>
          <w:lang w:val="en-AU"/>
        </w:rPr>
        <w:t xml:space="preserve"> – </w:t>
      </w:r>
      <w:r w:rsidRPr="00C47EC9">
        <w:t>0.31 g/kg bw/day at the 90</w:t>
      </w:r>
      <w:r w:rsidRPr="00C47EC9">
        <w:rPr>
          <w:vertAlign w:val="superscript"/>
        </w:rPr>
        <w:t>th</w:t>
      </w:r>
      <w:r w:rsidRPr="00C47EC9">
        <w:t xml:space="preserve"> percentile.</w:t>
      </w:r>
    </w:p>
    <w:p w14:paraId="56497490" w14:textId="07C91235" w:rsidR="00A7422F" w:rsidRDefault="00A7422F" w:rsidP="00510B7A">
      <w:pPr>
        <w:widowControl/>
        <w:spacing w:before="120" w:after="120"/>
      </w:pPr>
      <w:r>
        <w:rPr>
          <w:lang w:val="en-AU"/>
        </w:rPr>
        <w:t xml:space="preserve">FSANZ’s previous </w:t>
      </w:r>
      <w:r w:rsidRPr="00565D3D">
        <w:rPr>
          <w:b/>
          <w:i/>
          <w:lang w:val="en-AU"/>
        </w:rPr>
        <w:t>toxicological</w:t>
      </w:r>
      <w:r>
        <w:rPr>
          <w:b/>
          <w:i/>
          <w:lang w:val="en-AU"/>
        </w:rPr>
        <w:t xml:space="preserve"> assessment</w:t>
      </w:r>
      <w:r w:rsidRPr="004E63D0">
        <w:rPr>
          <w:lang w:val="en-AU"/>
        </w:rPr>
        <w:t xml:space="preserve"> of</w:t>
      </w:r>
      <w:r w:rsidRPr="00990C8B">
        <w:rPr>
          <w:lang w:val="en-AU"/>
        </w:rPr>
        <w:t xml:space="preserve"> </w:t>
      </w:r>
      <w:r>
        <w:rPr>
          <w:lang w:val="en-AU"/>
        </w:rPr>
        <w:t>2′-FL concluded</w:t>
      </w:r>
      <w:r w:rsidRPr="00990C8B">
        <w:rPr>
          <w:lang w:val="en-AU"/>
        </w:rPr>
        <w:t xml:space="preserve"> there are</w:t>
      </w:r>
      <w:r>
        <w:rPr>
          <w:lang w:val="en-AU"/>
        </w:rPr>
        <w:t xml:space="preserve"> no </w:t>
      </w:r>
      <w:r w:rsidRPr="00990C8B">
        <w:rPr>
          <w:lang w:val="en-AU"/>
        </w:rPr>
        <w:t xml:space="preserve">safety concerns associated with </w:t>
      </w:r>
      <w:r w:rsidRPr="00990C8B">
        <w:rPr>
          <w:rFonts w:cs="Arial"/>
        </w:rPr>
        <w:t xml:space="preserve">the addition of 2′-FL </w:t>
      </w:r>
      <w:r w:rsidRPr="00990C8B">
        <w:rPr>
          <w:lang w:val="en-AU"/>
        </w:rPr>
        <w:t>at concentrations up to 2.4 g/L</w:t>
      </w:r>
      <w:r w:rsidRPr="00965992">
        <w:rPr>
          <w:lang w:val="en-AU"/>
        </w:rPr>
        <w:t>.</w:t>
      </w:r>
      <w:r w:rsidRPr="00965992">
        <w:rPr>
          <w:rFonts w:cs="Arial"/>
        </w:rPr>
        <w:t xml:space="preserve"> </w:t>
      </w:r>
      <w:r>
        <w:rPr>
          <w:lang w:val="en-AU" w:eastAsia="en-AU"/>
        </w:rPr>
        <w:t xml:space="preserve">Further </w:t>
      </w:r>
      <w:r w:rsidRPr="004E63D0">
        <w:rPr>
          <w:lang w:val="en-AU" w:eastAsia="en-AU"/>
        </w:rPr>
        <w:t>assessment</w:t>
      </w:r>
      <w:r>
        <w:rPr>
          <w:lang w:val="en-AU" w:eastAsia="en-AU"/>
        </w:rPr>
        <w:t xml:space="preserve"> of new studies as a part of this application did not indicate a reason to change this conclusion. </w:t>
      </w:r>
      <w:r>
        <w:rPr>
          <w:szCs w:val="22"/>
          <w:lang w:val="en-AU" w:eastAsia="en-AU"/>
        </w:rPr>
        <w:t>2′-</w:t>
      </w:r>
      <w:r w:rsidRPr="00990C8B">
        <w:rPr>
          <w:szCs w:val="22"/>
          <w:lang w:val="en-AU" w:eastAsia="en-AU"/>
        </w:rPr>
        <w:t>FL</w:t>
      </w:r>
      <w:r>
        <w:rPr>
          <w:szCs w:val="22"/>
          <w:lang w:val="en-AU" w:eastAsia="en-AU"/>
        </w:rPr>
        <w:t xml:space="preserve"> </w:t>
      </w:r>
      <w:r w:rsidRPr="00990C8B">
        <w:rPr>
          <w:szCs w:val="22"/>
          <w:lang w:val="en-AU" w:eastAsia="en-AU"/>
        </w:rPr>
        <w:t>was not genotoxic</w:t>
      </w:r>
      <w:r w:rsidRPr="00FE5FD5">
        <w:rPr>
          <w:szCs w:val="22"/>
          <w:lang w:val="en-AU" w:eastAsia="en-AU"/>
        </w:rPr>
        <w:t xml:space="preserve"> and no</w:t>
      </w:r>
      <w:r w:rsidRPr="00990C8B">
        <w:rPr>
          <w:szCs w:val="22"/>
          <w:lang w:val="en-AU" w:eastAsia="en-AU"/>
        </w:rPr>
        <w:t xml:space="preserve"> adverse effects were observed in </w:t>
      </w:r>
      <w:r>
        <w:rPr>
          <w:szCs w:val="22"/>
          <w:lang w:val="en-AU" w:eastAsia="en-AU"/>
        </w:rPr>
        <w:t xml:space="preserve">multiple short-term </w:t>
      </w:r>
      <w:r w:rsidRPr="00990C8B">
        <w:rPr>
          <w:szCs w:val="22"/>
          <w:lang w:val="en-AU" w:eastAsia="en-AU"/>
        </w:rPr>
        <w:t xml:space="preserve">oral toxicity studies in </w:t>
      </w:r>
      <w:r>
        <w:rPr>
          <w:szCs w:val="22"/>
          <w:lang w:val="en-AU" w:eastAsia="en-AU"/>
        </w:rPr>
        <w:t>neonatal</w:t>
      </w:r>
      <w:r w:rsidRPr="00990C8B">
        <w:rPr>
          <w:szCs w:val="22"/>
          <w:lang w:val="en-AU" w:eastAsia="en-AU"/>
        </w:rPr>
        <w:t xml:space="preserve"> rats</w:t>
      </w:r>
      <w:r>
        <w:rPr>
          <w:szCs w:val="22"/>
          <w:lang w:val="en-AU" w:eastAsia="en-AU"/>
        </w:rPr>
        <w:t xml:space="preserve">, </w:t>
      </w:r>
      <w:r w:rsidRPr="00990C8B">
        <w:rPr>
          <w:szCs w:val="22"/>
          <w:lang w:val="en-AU" w:eastAsia="en-AU"/>
        </w:rPr>
        <w:t xml:space="preserve">older rats </w:t>
      </w:r>
      <w:r>
        <w:rPr>
          <w:szCs w:val="22"/>
          <w:lang w:val="en-AU" w:eastAsia="en-AU"/>
        </w:rPr>
        <w:t xml:space="preserve">and </w:t>
      </w:r>
      <w:r w:rsidRPr="00990C8B">
        <w:rPr>
          <w:szCs w:val="22"/>
          <w:lang w:val="en-AU" w:eastAsia="en-AU"/>
        </w:rPr>
        <w:t xml:space="preserve">neonatal piglets. </w:t>
      </w:r>
      <w:r w:rsidRPr="00990C8B">
        <w:rPr>
          <w:lang w:val="en-AU"/>
        </w:rPr>
        <w:t xml:space="preserve">In human studies, infant formula supplemented with 2′-FL was well tolerated with </w:t>
      </w:r>
      <w:r w:rsidRPr="00990C8B">
        <w:t>no significant increases in adverse events. 2′-FL was also well tolerated in studies with children and adults.</w:t>
      </w:r>
    </w:p>
    <w:p w14:paraId="1C665122" w14:textId="77777777" w:rsidR="00510B7A" w:rsidRDefault="00A7422F" w:rsidP="00510B7A">
      <w:pPr>
        <w:widowControl/>
        <w:spacing w:before="120" w:after="120"/>
        <w:rPr>
          <w:lang w:val="en-AU"/>
        </w:rPr>
      </w:pPr>
      <w:r>
        <w:rPr>
          <w:lang w:val="en-AU"/>
        </w:rPr>
        <w:t>Protein was not detected in the 2′-FL</w:t>
      </w:r>
      <w:r>
        <w:rPr>
          <w:vertAlign w:val="subscript"/>
          <w:lang w:val="en-AU"/>
        </w:rPr>
        <w:t xml:space="preserve"> </w:t>
      </w:r>
      <w:r>
        <w:rPr>
          <w:lang w:val="en-AU"/>
        </w:rPr>
        <w:t xml:space="preserve">product, therefore 2′-FL is unlikely to </w:t>
      </w:r>
      <w:r w:rsidR="00510B7A">
        <w:rPr>
          <w:lang w:val="en-AU"/>
        </w:rPr>
        <w:t>pose an allergenicity concern.</w:t>
      </w:r>
    </w:p>
    <w:p w14:paraId="67528588" w14:textId="5EF89943" w:rsidR="00A7422F" w:rsidRDefault="00A7422F" w:rsidP="00510B7A">
      <w:pPr>
        <w:widowControl/>
        <w:spacing w:before="120" w:after="120"/>
        <w:rPr>
          <w:lang w:val="en-AU"/>
        </w:rPr>
      </w:pPr>
      <w:r>
        <w:rPr>
          <w:rFonts w:cs="Arial"/>
          <w:iCs/>
          <w:lang w:val="en-AU" w:eastAsia="en-GB"/>
        </w:rPr>
        <w:t>A</w:t>
      </w:r>
      <w:r w:rsidRPr="00990C8B">
        <w:rPr>
          <w:rFonts w:cs="Arial"/>
          <w:iCs/>
          <w:lang w:val="en-AU" w:eastAsia="en-GB"/>
        </w:rPr>
        <w:t xml:space="preserve"> </w:t>
      </w:r>
      <w:r w:rsidRPr="00565D3D">
        <w:rPr>
          <w:rFonts w:cs="Arial"/>
          <w:b/>
          <w:i/>
          <w:iCs/>
          <w:lang w:val="en-AU" w:eastAsia="en-GB"/>
        </w:rPr>
        <w:t>nutritional assessment</w:t>
      </w:r>
      <w:r w:rsidRPr="00990C8B">
        <w:rPr>
          <w:rFonts w:cs="Arial"/>
          <w:iCs/>
          <w:lang w:val="en-AU" w:eastAsia="en-GB"/>
        </w:rPr>
        <w:t xml:space="preserve"> concluded </w:t>
      </w:r>
      <w:r>
        <w:rPr>
          <w:rFonts w:cs="Arial"/>
          <w:iCs/>
          <w:lang w:val="en-AU" w:eastAsia="en-GB"/>
        </w:rPr>
        <w:t xml:space="preserve">the addition of </w:t>
      </w:r>
      <w:r w:rsidRPr="009843EC">
        <w:rPr>
          <w:lang w:val="en-AU"/>
        </w:rPr>
        <w:t>2</w:t>
      </w:r>
      <w:r>
        <w:rPr>
          <w:lang w:val="en-AU"/>
        </w:rPr>
        <w:t>′</w:t>
      </w:r>
      <w:r w:rsidRPr="009843EC">
        <w:rPr>
          <w:lang w:val="en-AU"/>
        </w:rPr>
        <w:t>-FL</w:t>
      </w:r>
      <w:r>
        <w:rPr>
          <w:lang w:val="en-AU"/>
        </w:rPr>
        <w:t xml:space="preserve"> to infant formula is not expected to affect the </w:t>
      </w:r>
      <w:r w:rsidRPr="001E641B">
        <w:rPr>
          <w:lang w:val="en-AU" w:eastAsia="en-AU" w:bidi="ar-SA"/>
        </w:rPr>
        <w:t xml:space="preserve">growth </w:t>
      </w:r>
      <w:r>
        <w:rPr>
          <w:lang w:val="en-AU" w:eastAsia="en-AU" w:bidi="ar-SA"/>
        </w:rPr>
        <w:t>profiles of infants.</w:t>
      </w:r>
      <w:r w:rsidRPr="0044469B">
        <w:rPr>
          <w:rFonts w:cs="Arial"/>
          <w:iCs/>
          <w:lang w:val="en-AU" w:eastAsia="en-GB"/>
        </w:rPr>
        <w:t xml:space="preserve"> </w:t>
      </w:r>
      <w:r>
        <w:rPr>
          <w:lang w:val="en-AU"/>
        </w:rPr>
        <w:t xml:space="preserve">Combined with </w:t>
      </w:r>
      <w:r w:rsidRPr="00990C8B">
        <w:rPr>
          <w:lang w:val="en-AU"/>
        </w:rPr>
        <w:t>the limited gastrointestinal absorption of 2′-FL, there is no evidence to indicate a nutritional concern at concentrations that are typically observed in human milk.</w:t>
      </w:r>
    </w:p>
    <w:p w14:paraId="2E44A346" w14:textId="7D47F63F" w:rsidR="00A7422F" w:rsidRDefault="00A7422F" w:rsidP="00510B7A">
      <w:pPr>
        <w:widowControl/>
        <w:spacing w:before="120" w:after="120"/>
      </w:pPr>
      <w:r>
        <w:rPr>
          <w:lang w:val="en-AU"/>
        </w:rPr>
        <w:t xml:space="preserve">As part of the assessment, FSANZ </w:t>
      </w:r>
      <w:r w:rsidR="007819A3">
        <w:rPr>
          <w:lang w:val="en-AU"/>
        </w:rPr>
        <w:t>had</w:t>
      </w:r>
      <w:r>
        <w:rPr>
          <w:lang w:val="en-AU"/>
        </w:rPr>
        <w:t xml:space="preserve"> regard to the </w:t>
      </w:r>
      <w:r w:rsidRPr="00527AAB">
        <w:rPr>
          <w:lang w:val="en-AU"/>
        </w:rPr>
        <w:t xml:space="preserve">Ministerial </w:t>
      </w:r>
      <w:r>
        <w:rPr>
          <w:lang w:val="en-AU"/>
        </w:rPr>
        <w:t>P</w:t>
      </w:r>
      <w:r w:rsidRPr="00527AAB">
        <w:rPr>
          <w:lang w:val="en-AU"/>
        </w:rPr>
        <w:t xml:space="preserve">olicy </w:t>
      </w:r>
      <w:r>
        <w:rPr>
          <w:lang w:val="en-AU"/>
        </w:rPr>
        <w:t>G</w:t>
      </w:r>
      <w:r w:rsidRPr="00527AAB">
        <w:rPr>
          <w:lang w:val="en-AU"/>
        </w:rPr>
        <w:t>uideline</w:t>
      </w:r>
      <w:r>
        <w:rPr>
          <w:lang w:val="en-AU"/>
        </w:rPr>
        <w:t>’s</w:t>
      </w:r>
      <w:r w:rsidRPr="00527AAB">
        <w:rPr>
          <w:lang w:val="en-AU"/>
        </w:rPr>
        <w:t xml:space="preserve"> on the regulation of </w:t>
      </w:r>
      <w:r>
        <w:rPr>
          <w:lang w:val="en-AU"/>
        </w:rPr>
        <w:t xml:space="preserve">IFP and special purpose foods (including FSFYC). FSANZ concluded through a </w:t>
      </w:r>
      <w:r w:rsidRPr="00785898">
        <w:rPr>
          <w:b/>
          <w:i/>
          <w:lang w:val="en-AU"/>
        </w:rPr>
        <w:t>benefit assessment</w:t>
      </w:r>
      <w:r>
        <w:rPr>
          <w:lang w:val="en-AU"/>
        </w:rPr>
        <w:t xml:space="preserve"> that there is </w:t>
      </w:r>
      <w:r w:rsidRPr="009843EC">
        <w:rPr>
          <w:lang w:val="en-AU"/>
        </w:rPr>
        <w:t>evidence to support</w:t>
      </w:r>
      <w:r>
        <w:rPr>
          <w:lang w:val="en-AU"/>
        </w:rPr>
        <w:t xml:space="preserve"> a role for 2′-FL</w:t>
      </w:r>
      <w:r w:rsidRPr="009843EC">
        <w:rPr>
          <w:lang w:val="en-AU"/>
        </w:rPr>
        <w:t xml:space="preserve"> </w:t>
      </w:r>
      <w:r>
        <w:rPr>
          <w:lang w:val="en-AU"/>
        </w:rPr>
        <w:t>in promoting a</w:t>
      </w:r>
      <w:r w:rsidRPr="009843EC">
        <w:rPr>
          <w:lang w:val="en-AU"/>
        </w:rPr>
        <w:t xml:space="preserve"> bifidogenic effect</w:t>
      </w:r>
      <w:r>
        <w:rPr>
          <w:lang w:val="en-AU"/>
        </w:rPr>
        <w:t xml:space="preserve"> and limiting</w:t>
      </w:r>
      <w:r w:rsidRPr="009843EC">
        <w:rPr>
          <w:lang w:val="en-AU"/>
        </w:rPr>
        <w:t xml:space="preserve"> infection by pathogenic strains of </w:t>
      </w:r>
      <w:r w:rsidRPr="00956448">
        <w:rPr>
          <w:i/>
          <w:lang w:val="en-AU"/>
        </w:rPr>
        <w:t>C</w:t>
      </w:r>
      <w:r w:rsidR="002E0C5D">
        <w:rPr>
          <w:i/>
          <w:lang w:val="en-AU"/>
        </w:rPr>
        <w:t>.</w:t>
      </w:r>
      <w:r w:rsidRPr="00956448">
        <w:rPr>
          <w:i/>
          <w:lang w:val="en-AU"/>
        </w:rPr>
        <w:t xml:space="preserve"> jejuni</w:t>
      </w:r>
      <w:r>
        <w:rPr>
          <w:lang w:val="en-AU"/>
        </w:rPr>
        <w:t xml:space="preserve"> in infants and young children. </w:t>
      </w:r>
      <w:r w:rsidRPr="00250CDB">
        <w:rPr>
          <w:lang w:val="en-AU"/>
        </w:rPr>
        <w:t xml:space="preserve">Of note, the evidence </w:t>
      </w:r>
      <w:r>
        <w:rPr>
          <w:lang w:val="en-AU"/>
        </w:rPr>
        <w:t xml:space="preserve">base for these effects in </w:t>
      </w:r>
      <w:r w:rsidRPr="00250CDB">
        <w:rPr>
          <w:lang w:val="en-AU"/>
        </w:rPr>
        <w:t xml:space="preserve">young children is </w:t>
      </w:r>
      <w:r>
        <w:rPr>
          <w:lang w:val="en-AU"/>
        </w:rPr>
        <w:t>fairly</w:t>
      </w:r>
      <w:r w:rsidRPr="00250CDB">
        <w:rPr>
          <w:lang w:val="en-AU"/>
        </w:rPr>
        <w:t xml:space="preserve"> limited.</w:t>
      </w:r>
      <w:r>
        <w:rPr>
          <w:lang w:val="en-AU"/>
        </w:rPr>
        <w:t xml:space="preserve"> </w:t>
      </w:r>
      <w:r w:rsidR="00CD6502">
        <w:rPr>
          <w:lang w:val="en-AU"/>
        </w:rPr>
        <w:t xml:space="preserve">The application </w:t>
      </w:r>
      <w:r w:rsidR="003B0735">
        <w:rPr>
          <w:lang w:val="en-AU"/>
        </w:rPr>
        <w:t>provided information</w:t>
      </w:r>
      <w:r w:rsidR="00CD6502">
        <w:rPr>
          <w:lang w:val="en-AU"/>
        </w:rPr>
        <w:t xml:space="preserve"> </w:t>
      </w:r>
      <w:r w:rsidR="003B0735">
        <w:rPr>
          <w:lang w:val="en-AU"/>
        </w:rPr>
        <w:t>suggesting</w:t>
      </w:r>
      <w:r w:rsidR="00F77F73">
        <w:rPr>
          <w:lang w:val="en-AU"/>
        </w:rPr>
        <w:t xml:space="preserve"> </w:t>
      </w:r>
      <w:r w:rsidR="00FF55BA">
        <w:t>that 2′-FL can mediate changes in the function of the immune response, the intestinal barrier, learning and memory and gut motility</w:t>
      </w:r>
      <w:r w:rsidR="00CD6502">
        <w:t xml:space="preserve">. </w:t>
      </w:r>
      <w:r w:rsidR="005D0EEA">
        <w:t xml:space="preserve">There </w:t>
      </w:r>
      <w:r w:rsidR="00FF55BA">
        <w:t xml:space="preserve">is limited </w:t>
      </w:r>
      <w:r w:rsidR="003B0735">
        <w:t xml:space="preserve">evidence </w:t>
      </w:r>
      <w:r w:rsidR="00FF55BA">
        <w:t>demonstrating these effects in humans. FSANZ concludes that for these stated health effects, the claims are not adequately supported by the evidence.</w:t>
      </w:r>
    </w:p>
    <w:p w14:paraId="1A387445" w14:textId="204D5DD8" w:rsidR="00A7422F" w:rsidRDefault="00A7422F" w:rsidP="00510B7A">
      <w:pPr>
        <w:widowControl/>
        <w:spacing w:before="120" w:after="120"/>
        <w:rPr>
          <w:rFonts w:cs="Arial"/>
          <w:color w:val="000000" w:themeColor="text1"/>
          <w:szCs w:val="20"/>
        </w:rPr>
      </w:pPr>
      <w:r w:rsidRPr="0058396B">
        <w:rPr>
          <w:b/>
          <w:i/>
          <w:lang w:val="en-AU"/>
        </w:rPr>
        <w:lastRenderedPageBreak/>
        <w:t>In summary</w:t>
      </w:r>
      <w:r>
        <w:rPr>
          <w:lang w:val="en-AU"/>
        </w:rPr>
        <w:t>, 2′</w:t>
      </w:r>
      <w:r w:rsidRPr="00E41E19">
        <w:rPr>
          <w:lang w:val="en-AU"/>
        </w:rPr>
        <w:t xml:space="preserve">-FL </w:t>
      </w:r>
      <w:r>
        <w:rPr>
          <w:lang w:val="en-AU"/>
        </w:rPr>
        <w:t>is</w:t>
      </w:r>
      <w:r w:rsidRPr="00E41E19">
        <w:rPr>
          <w:lang w:val="en-AU"/>
        </w:rPr>
        <w:t xml:space="preserve"> naturally present in human milk in a range of concentrations, providing a history of safe human exposure. FSANZ concludes there are no safety concerns associated with the addition of </w:t>
      </w:r>
      <w:r>
        <w:rPr>
          <w:lang w:val="en-AU"/>
        </w:rPr>
        <w:t>2′</w:t>
      </w:r>
      <w:r w:rsidRPr="00E41E19">
        <w:rPr>
          <w:lang w:val="en-AU"/>
        </w:rPr>
        <w:t xml:space="preserve">-FL </w:t>
      </w:r>
      <w:r>
        <w:rPr>
          <w:lang w:val="en-AU"/>
        </w:rPr>
        <w:t xml:space="preserve">derived from </w:t>
      </w:r>
      <w:r w:rsidRPr="004777D4">
        <w:rPr>
          <w:i/>
        </w:rPr>
        <w:t>E</w:t>
      </w:r>
      <w:r>
        <w:rPr>
          <w:i/>
        </w:rPr>
        <w:t>.</w:t>
      </w:r>
      <w:r w:rsidRPr="004777D4">
        <w:rPr>
          <w:i/>
        </w:rPr>
        <w:t xml:space="preserve"> coli</w:t>
      </w:r>
      <w:r w:rsidRPr="004777D4">
        <w:t xml:space="preserve"> BL21</w:t>
      </w:r>
      <w:r w:rsidR="00AA3269">
        <w:t xml:space="preserve"> </w:t>
      </w:r>
      <w:r>
        <w:rPr>
          <w:lang w:val="en-AU"/>
        </w:rPr>
        <w:t xml:space="preserve">produced by fermentation, </w:t>
      </w:r>
      <w:r w:rsidRPr="00E41E19">
        <w:rPr>
          <w:lang w:val="en-AU"/>
        </w:rPr>
        <w:t xml:space="preserve">to </w:t>
      </w:r>
      <w:r>
        <w:t xml:space="preserve">IFP </w:t>
      </w:r>
      <w:r w:rsidDel="00CA2E60">
        <w:t xml:space="preserve">and </w:t>
      </w:r>
      <w:r>
        <w:t>FSFYC,</w:t>
      </w:r>
      <w:r w:rsidRPr="00E41E19" w:rsidDel="00CA2E60">
        <w:rPr>
          <w:lang w:val="en-AU"/>
        </w:rPr>
        <w:t xml:space="preserve"> </w:t>
      </w:r>
      <w:r w:rsidRPr="00E41E19">
        <w:rPr>
          <w:lang w:val="en-AU"/>
        </w:rPr>
        <w:t>at the requested level</w:t>
      </w:r>
      <w:r>
        <w:rPr>
          <w:lang w:val="en-AU"/>
        </w:rPr>
        <w:t xml:space="preserve"> of 2 g/L</w:t>
      </w:r>
      <w:r w:rsidRPr="00E41E19">
        <w:rPr>
          <w:lang w:val="en-AU"/>
        </w:rPr>
        <w:t xml:space="preserve">, or at higher estimated dietary intakes based on </w:t>
      </w:r>
      <w:r>
        <w:rPr>
          <w:lang w:val="en-AU"/>
        </w:rPr>
        <w:t>the existing permitted level in the Code (</w:t>
      </w:r>
      <w:r w:rsidRPr="00E41E19">
        <w:rPr>
          <w:lang w:val="en-AU"/>
        </w:rPr>
        <w:t>2.4</w:t>
      </w:r>
      <w:r>
        <w:rPr>
          <w:lang w:val="en-AU"/>
        </w:rPr>
        <w:t> </w:t>
      </w:r>
      <w:r w:rsidRPr="00E41E19">
        <w:rPr>
          <w:lang w:val="en-AU"/>
        </w:rPr>
        <w:t>g/L</w:t>
      </w:r>
      <w:r>
        <w:rPr>
          <w:lang w:val="en-AU"/>
        </w:rPr>
        <w:t>).</w:t>
      </w:r>
    </w:p>
    <w:p w14:paraId="5A22E112" w14:textId="7DD60E90" w:rsidR="002C1A3B" w:rsidRPr="00DE5CC1" w:rsidRDefault="00246EBF" w:rsidP="008A70D2">
      <w:pPr>
        <w:pStyle w:val="Heading1"/>
        <w:spacing w:before="360"/>
      </w:pPr>
      <w:bookmarkStart w:id="79" w:name="_Toc81995093"/>
      <w:r>
        <w:t>3</w:t>
      </w:r>
      <w:r>
        <w:tab/>
      </w:r>
      <w:r w:rsidR="002C1A3B" w:rsidRPr="00DE5CC1">
        <w:t>Risk management</w:t>
      </w:r>
      <w:bookmarkEnd w:id="75"/>
      <w:bookmarkEnd w:id="76"/>
      <w:bookmarkEnd w:id="79"/>
    </w:p>
    <w:p w14:paraId="567929F3" w14:textId="28A17D7D" w:rsidR="00A7422F" w:rsidRDefault="00A7422F" w:rsidP="00510B7A">
      <w:pPr>
        <w:widowControl/>
        <w:spacing w:before="120" w:after="120"/>
        <w:rPr>
          <w:szCs w:val="22"/>
        </w:rPr>
      </w:pPr>
      <w:bookmarkStart w:id="80" w:name="_Toc309291814"/>
      <w:bookmarkStart w:id="81" w:name="_Toc370225389"/>
      <w:bookmarkStart w:id="82" w:name="_Toc286391012"/>
      <w:bookmarkEnd w:id="77"/>
      <w:r>
        <w:rPr>
          <w:szCs w:val="22"/>
        </w:rPr>
        <w:t xml:space="preserve">Breastfeeding is the recommended way to feed infants. As infants are a vulnerable population group, a safe and nutritious substitute is necessary when breastfeeding is not possible. </w:t>
      </w:r>
      <w:r w:rsidR="00AC5DE5">
        <w:t>Before a change in the composition of IFP is permitted, there must be evidence that the change would not pose a risk to the health and safety of consumers of these products, in this case - infants.</w:t>
      </w:r>
    </w:p>
    <w:p w14:paraId="286DD0FA" w14:textId="10953A9B" w:rsidR="00A7422F" w:rsidRPr="00DE5CC1" w:rsidRDefault="00246EBF" w:rsidP="00DE5CC1">
      <w:pPr>
        <w:pStyle w:val="Heading2"/>
      </w:pPr>
      <w:bookmarkStart w:id="83" w:name="_Toc81995094"/>
      <w:r>
        <w:t>3</w:t>
      </w:r>
      <w:r w:rsidR="000E1758" w:rsidRPr="00DE5CC1">
        <w:t>.1</w:t>
      </w:r>
      <w:r w:rsidR="000E1758" w:rsidRPr="00DE5CC1">
        <w:tab/>
      </w:r>
      <w:r w:rsidR="00CB18A8">
        <w:t>C</w:t>
      </w:r>
      <w:r w:rsidR="00A7422F" w:rsidRPr="00DE5CC1">
        <w:t>onsideration</w:t>
      </w:r>
      <w:bookmarkEnd w:id="83"/>
      <w:r w:rsidR="00CB18A8">
        <w:t xml:space="preserve"> of the </w:t>
      </w:r>
      <w:r w:rsidR="0045669E">
        <w:t>assessment and final approach</w:t>
      </w:r>
    </w:p>
    <w:p w14:paraId="73DC3329" w14:textId="64DC5D84" w:rsidR="00A7422F" w:rsidRDefault="00A7422F" w:rsidP="00510B7A">
      <w:pPr>
        <w:widowControl/>
        <w:spacing w:before="120" w:after="120"/>
      </w:pPr>
      <w:r>
        <w:rPr>
          <w:lang w:bidi="ar-SA"/>
        </w:rPr>
        <w:t>W</w:t>
      </w:r>
      <w:r>
        <w:t>here an infant is not breastfed or is partially breastfed, commercial infant formulas are the only</w:t>
      </w:r>
      <w:r>
        <w:rPr>
          <w:lang w:bidi="ar-SA"/>
        </w:rPr>
        <w:t xml:space="preserve"> safe </w:t>
      </w:r>
      <w:r>
        <w:t xml:space="preserve">alternative to human milk to be used until 12 months of age (NHMRC 2012; NZ MoH 2012). </w:t>
      </w:r>
      <w:r>
        <w:rPr>
          <w:lang w:val="en-AU"/>
        </w:rPr>
        <w:t>Th</w:t>
      </w:r>
      <w:r w:rsidRPr="0039004B">
        <w:rPr>
          <w:lang w:val="en-AU"/>
        </w:rPr>
        <w:t xml:space="preserve">e purpose of FSFYC is </w:t>
      </w:r>
      <w:r w:rsidR="00EA0130">
        <w:rPr>
          <w:lang w:val="en-AU"/>
        </w:rPr>
        <w:t xml:space="preserve">different to IFP; it is for when </w:t>
      </w:r>
      <w:r w:rsidR="00EA0130" w:rsidRPr="006C6A6B">
        <w:rPr>
          <w:rFonts w:cs="Arial"/>
        </w:rPr>
        <w:t xml:space="preserve">intakes of energy and nutrients may not be adequate to meet a child’s </w:t>
      </w:r>
      <w:r w:rsidR="00EA0130">
        <w:rPr>
          <w:rFonts w:cs="Arial"/>
        </w:rPr>
        <w:t>(</w:t>
      </w:r>
      <w:r w:rsidR="00EA0130" w:rsidRPr="0039004B">
        <w:rPr>
          <w:lang w:val="en-AU"/>
        </w:rPr>
        <w:t>aged 1 to &lt;</w:t>
      </w:r>
      <w:r w:rsidR="00EA0130">
        <w:rPr>
          <w:lang w:val="en-AU"/>
        </w:rPr>
        <w:t xml:space="preserve"> </w:t>
      </w:r>
      <w:r w:rsidR="00EA0130" w:rsidRPr="0039004B">
        <w:rPr>
          <w:lang w:val="en-AU"/>
        </w:rPr>
        <w:t>4 years</w:t>
      </w:r>
      <w:r w:rsidR="00EA0130">
        <w:rPr>
          <w:rFonts w:cs="Arial"/>
        </w:rPr>
        <w:t>) requirements</w:t>
      </w:r>
      <w:r>
        <w:t>. Australian Infant Feeding Guidelines state that FSFYC are not required for healthy children as they should be consuming adequate nutrients f</w:t>
      </w:r>
      <w:r w:rsidR="00510B7A">
        <w:t>rom regular foods (NHMRC 2012).</w:t>
      </w:r>
    </w:p>
    <w:p w14:paraId="746A0472" w14:textId="43B00149" w:rsidR="00A7422F" w:rsidRPr="00A10E1D" w:rsidRDefault="008E190A" w:rsidP="00510B7A">
      <w:pPr>
        <w:widowControl/>
        <w:spacing w:before="120" w:after="120"/>
        <w:rPr>
          <w:lang w:val="en-AU"/>
        </w:rPr>
      </w:pPr>
      <w:r>
        <w:rPr>
          <w:lang w:val="en-AU"/>
        </w:rPr>
        <w:t>Following assessment of the applicant’s 2′</w:t>
      </w:r>
      <w:r w:rsidRPr="00E41E19">
        <w:rPr>
          <w:lang w:val="en-AU"/>
        </w:rPr>
        <w:t>-FL</w:t>
      </w:r>
      <w:r>
        <w:rPr>
          <w:lang w:val="en-AU"/>
        </w:rPr>
        <w:t xml:space="preserve"> to IFP and FSFYC, </w:t>
      </w:r>
      <w:r w:rsidR="00A7422F">
        <w:rPr>
          <w:lang w:val="en-AU"/>
        </w:rPr>
        <w:t xml:space="preserve">FSANZ </w:t>
      </w:r>
      <w:r w:rsidR="00D967A8">
        <w:rPr>
          <w:lang w:eastAsia="en-AU" w:bidi="ar-SA"/>
        </w:rPr>
        <w:t xml:space="preserve">concluded </w:t>
      </w:r>
      <w:r>
        <w:rPr>
          <w:lang w:eastAsia="en-AU" w:bidi="ar-SA"/>
        </w:rPr>
        <w:t xml:space="preserve">that it </w:t>
      </w:r>
      <w:r w:rsidR="00264B27">
        <w:rPr>
          <w:lang w:eastAsia="en-AU" w:bidi="ar-SA"/>
        </w:rPr>
        <w:t xml:space="preserve">was </w:t>
      </w:r>
      <w:r>
        <w:rPr>
          <w:lang w:eastAsia="en-AU" w:bidi="ar-SA"/>
        </w:rPr>
        <w:t>appropriate to</w:t>
      </w:r>
      <w:r w:rsidR="003E21C9">
        <w:rPr>
          <w:lang w:eastAsia="en-AU" w:bidi="ar-SA"/>
        </w:rPr>
        <w:t xml:space="preserve"> permit the applicant</w:t>
      </w:r>
      <w:r>
        <w:rPr>
          <w:lang w:eastAsia="en-AU" w:bidi="ar-SA"/>
        </w:rPr>
        <w:t>’</w:t>
      </w:r>
      <w:r w:rsidR="003E21C9">
        <w:rPr>
          <w:lang w:eastAsia="en-AU" w:bidi="ar-SA"/>
        </w:rPr>
        <w:t xml:space="preserve">s </w:t>
      </w:r>
      <w:r w:rsidR="003E21C9">
        <w:rPr>
          <w:lang w:val="en-AU"/>
        </w:rPr>
        <w:t>2′</w:t>
      </w:r>
      <w:r w:rsidR="003E21C9" w:rsidRPr="00E41E19">
        <w:rPr>
          <w:lang w:val="en-AU"/>
        </w:rPr>
        <w:t>-FL</w:t>
      </w:r>
      <w:r w:rsidR="003E21C9">
        <w:rPr>
          <w:lang w:val="en-AU"/>
        </w:rPr>
        <w:t xml:space="preserve"> </w:t>
      </w:r>
      <w:r>
        <w:rPr>
          <w:lang w:val="en-AU"/>
        </w:rPr>
        <w:t xml:space="preserve">in </w:t>
      </w:r>
      <w:r w:rsidR="003E21C9">
        <w:rPr>
          <w:lang w:val="en-AU"/>
        </w:rPr>
        <w:t>IFP</w:t>
      </w:r>
      <w:r>
        <w:rPr>
          <w:lang w:val="en-AU"/>
        </w:rPr>
        <w:t xml:space="preserve"> only.</w:t>
      </w:r>
      <w:r w:rsidR="00A7422F">
        <w:rPr>
          <w:lang w:bidi="ar-SA"/>
        </w:rPr>
        <w:t xml:space="preserve"> In </w:t>
      </w:r>
      <w:r w:rsidR="00DB0E58">
        <w:rPr>
          <w:lang w:bidi="ar-SA"/>
        </w:rPr>
        <w:t>coming to this conclusion</w:t>
      </w:r>
      <w:r w:rsidR="00D1089E">
        <w:rPr>
          <w:lang w:bidi="ar-SA"/>
        </w:rPr>
        <w:t>,</w:t>
      </w:r>
      <w:r w:rsidR="00A7422F">
        <w:rPr>
          <w:lang w:bidi="ar-SA"/>
        </w:rPr>
        <w:t xml:space="preserve"> FSANZ had regard to:</w:t>
      </w:r>
    </w:p>
    <w:p w14:paraId="223990A9" w14:textId="20184686" w:rsidR="00A7422F" w:rsidRDefault="00A7422F" w:rsidP="00510B7A">
      <w:pPr>
        <w:pStyle w:val="ListParagraph"/>
        <w:widowControl/>
        <w:numPr>
          <w:ilvl w:val="0"/>
          <w:numId w:val="8"/>
        </w:numPr>
        <w:spacing w:before="120" w:after="120"/>
        <w:ind w:left="714" w:hanging="357"/>
        <w:contextualSpacing w:val="0"/>
      </w:pPr>
      <w:r>
        <w:t xml:space="preserve">the safety, risk and beneficial health outcomes assessment at SD1 and summarised above in </w:t>
      </w:r>
      <w:r w:rsidR="00615108">
        <w:t xml:space="preserve">Section </w:t>
      </w:r>
      <w:r>
        <w:t>2</w:t>
      </w:r>
      <w:r w:rsidR="008E190A">
        <w:t>.2 of this report</w:t>
      </w:r>
      <w:r>
        <w:t>;</w:t>
      </w:r>
    </w:p>
    <w:p w14:paraId="0170556E" w14:textId="086126B4" w:rsidR="003E21C9" w:rsidRDefault="003E21C9" w:rsidP="00510B7A">
      <w:pPr>
        <w:pStyle w:val="ListParagraph"/>
        <w:widowControl/>
        <w:numPr>
          <w:ilvl w:val="0"/>
          <w:numId w:val="8"/>
        </w:numPr>
        <w:spacing w:before="120" w:after="120"/>
        <w:ind w:left="714" w:hanging="357"/>
        <w:contextualSpacing w:val="0"/>
      </w:pPr>
      <w:r>
        <w:t>submissions received at the call for submissions;</w:t>
      </w:r>
    </w:p>
    <w:p w14:paraId="156F77FE" w14:textId="5228B6A5" w:rsidR="00A7422F" w:rsidRPr="00EB7304" w:rsidRDefault="00B05F7E" w:rsidP="00510B7A">
      <w:pPr>
        <w:pStyle w:val="ListParagraph"/>
        <w:widowControl/>
        <w:numPr>
          <w:ilvl w:val="0"/>
          <w:numId w:val="8"/>
        </w:numPr>
        <w:spacing w:before="120" w:after="120"/>
        <w:ind w:left="714" w:hanging="357"/>
        <w:contextualSpacing w:val="0"/>
      </w:pPr>
      <w:r>
        <w:t>Section</w:t>
      </w:r>
      <w:r w:rsidR="00A7422F">
        <w:t xml:space="preserve"> 29 and subsection 18 of the FSANZ Act, including costs and benefits at </w:t>
      </w:r>
      <w:r>
        <w:t>Section</w:t>
      </w:r>
      <w:r w:rsidR="00A7422F">
        <w:t xml:space="preserve"> 5.1.1;</w:t>
      </w:r>
    </w:p>
    <w:p w14:paraId="705B0185" w14:textId="40D20206" w:rsidR="00A7422F" w:rsidRPr="004F018C" w:rsidRDefault="00A7422F" w:rsidP="00510B7A">
      <w:pPr>
        <w:pStyle w:val="ListParagraph"/>
        <w:widowControl/>
        <w:numPr>
          <w:ilvl w:val="0"/>
          <w:numId w:val="8"/>
        </w:numPr>
        <w:spacing w:before="120" w:after="120"/>
        <w:contextualSpacing w:val="0"/>
      </w:pPr>
      <w:r>
        <w:t>the justification for the FSANZ position outlined in the A1155 Approval Report</w:t>
      </w:r>
      <w:r>
        <w:rPr>
          <w:rStyle w:val="FootnoteReference"/>
          <w:lang w:bidi="ar-SA"/>
        </w:rPr>
        <w:footnoteReference w:id="19"/>
      </w:r>
      <w:r>
        <w:t xml:space="preserve"> and Review Report</w:t>
      </w:r>
      <w:r>
        <w:rPr>
          <w:rStyle w:val="FootnoteReference"/>
          <w:lang w:bidi="ar-SA"/>
        </w:rPr>
        <w:footnoteReference w:id="20"/>
      </w:r>
      <w:r>
        <w:t xml:space="preserve"> to permit </w:t>
      </w:r>
      <w:r w:rsidRPr="004F018C">
        <w:t>2′-FL</w:t>
      </w:r>
      <w:r>
        <w:t xml:space="preserve"> in both IFP and FSFYC; </w:t>
      </w:r>
      <w:r w:rsidR="008E190A">
        <w:t>and</w:t>
      </w:r>
    </w:p>
    <w:p w14:paraId="7CC79FA6" w14:textId="704E38AE" w:rsidR="00A7422F" w:rsidRPr="000F2E89" w:rsidRDefault="00A7422F" w:rsidP="00510B7A">
      <w:pPr>
        <w:pStyle w:val="ListParagraph"/>
        <w:widowControl/>
        <w:numPr>
          <w:ilvl w:val="0"/>
          <w:numId w:val="8"/>
        </w:numPr>
        <w:spacing w:before="120" w:after="120"/>
        <w:ind w:left="714" w:hanging="357"/>
        <w:contextualSpacing w:val="0"/>
      </w:pPr>
      <w:r w:rsidRPr="00F11A4C">
        <w:rPr>
          <w:lang w:val="en-AU"/>
        </w:rPr>
        <w:t>the decision and just</w:t>
      </w:r>
      <w:r w:rsidR="003E21C9">
        <w:rPr>
          <w:lang w:val="en-AU"/>
        </w:rPr>
        <w:t>ification by the Food Ministers</w:t>
      </w:r>
      <w:r w:rsidR="008E190A">
        <w:rPr>
          <w:lang w:val="en-AU"/>
        </w:rPr>
        <w:t>’</w:t>
      </w:r>
      <w:r w:rsidRPr="00F11A4C">
        <w:rPr>
          <w:lang w:val="en-AU"/>
        </w:rPr>
        <w:t xml:space="preserve"> Meeting</w:t>
      </w:r>
      <w:r>
        <w:rPr>
          <w:rStyle w:val="FootnoteReference"/>
          <w:lang w:val="en-AU"/>
        </w:rPr>
        <w:footnoteReference w:id="21"/>
      </w:r>
      <w:r w:rsidRPr="00F11A4C">
        <w:rPr>
          <w:lang w:val="en-AU"/>
        </w:rPr>
        <w:t xml:space="preserve"> </w:t>
      </w:r>
      <w:r w:rsidR="00CB18A8">
        <w:rPr>
          <w:lang w:val="en-AU"/>
        </w:rPr>
        <w:t xml:space="preserve">in November 2020 </w:t>
      </w:r>
      <w:r w:rsidRPr="00F11A4C">
        <w:rPr>
          <w:lang w:val="en-AU"/>
        </w:rPr>
        <w:t>to amend the drafting to not permit 2′-FL in FSFYC</w:t>
      </w:r>
      <w:r>
        <w:rPr>
          <w:lang w:val="en-AU"/>
        </w:rPr>
        <w:t>.</w:t>
      </w:r>
    </w:p>
    <w:p w14:paraId="1144ACCD" w14:textId="500248A9" w:rsidR="00A7422F" w:rsidRPr="000F2E89" w:rsidRDefault="00DB0E58" w:rsidP="00510B7A">
      <w:pPr>
        <w:widowControl/>
        <w:spacing w:before="120" w:after="120"/>
      </w:pPr>
      <w:r>
        <w:rPr>
          <w:lang w:val="en-AU"/>
        </w:rPr>
        <w:t>T</w:t>
      </w:r>
      <w:r w:rsidR="00A7422F">
        <w:rPr>
          <w:lang w:val="en-AU"/>
        </w:rPr>
        <w:t>he applicant</w:t>
      </w:r>
      <w:r>
        <w:rPr>
          <w:lang w:val="en-AU"/>
        </w:rPr>
        <w:t xml:space="preserve"> justified </w:t>
      </w:r>
      <w:r w:rsidR="00B14ED5">
        <w:rPr>
          <w:lang w:val="en-AU"/>
        </w:rPr>
        <w:t>the addition of</w:t>
      </w:r>
      <w:r>
        <w:rPr>
          <w:lang w:val="en-AU"/>
        </w:rPr>
        <w:t xml:space="preserve"> </w:t>
      </w:r>
      <w:r w:rsidR="00A7422F">
        <w:rPr>
          <w:lang w:val="en-AU"/>
        </w:rPr>
        <w:t xml:space="preserve">their </w:t>
      </w:r>
      <w:r w:rsidR="00A7422F" w:rsidRPr="004F018C">
        <w:rPr>
          <w:lang w:val="en-AU"/>
        </w:rPr>
        <w:t>2′-FL</w:t>
      </w:r>
      <w:r w:rsidR="00A7422F">
        <w:rPr>
          <w:lang w:val="en-AU"/>
        </w:rPr>
        <w:t xml:space="preserve"> product in FSFYC </w:t>
      </w:r>
      <w:r w:rsidR="00B14ED5">
        <w:rPr>
          <w:lang w:val="en-AU"/>
        </w:rPr>
        <w:t>as follows</w:t>
      </w:r>
      <w:r w:rsidR="00A7422F">
        <w:rPr>
          <w:lang w:val="en-AU"/>
        </w:rPr>
        <w:t>:</w:t>
      </w:r>
    </w:p>
    <w:p w14:paraId="12A5F3F1" w14:textId="7BB86196" w:rsidR="00A7422F" w:rsidRPr="002C22B7" w:rsidRDefault="00A7422F" w:rsidP="00510B7A">
      <w:pPr>
        <w:pStyle w:val="ListParagraph"/>
        <w:widowControl/>
        <w:numPr>
          <w:ilvl w:val="0"/>
          <w:numId w:val="9"/>
        </w:numPr>
        <w:spacing w:before="120" w:after="120"/>
        <w:ind w:left="714" w:hanging="357"/>
        <w:contextualSpacing w:val="0"/>
      </w:pPr>
      <w:r w:rsidRPr="002C22B7">
        <w:t>the benefits of 2</w:t>
      </w:r>
      <w:r w:rsidRPr="004777D4">
        <w:t>′</w:t>
      </w:r>
      <w:r w:rsidRPr="002C22B7">
        <w:t>-FL are hypothesised to extend past infancy into toddlerhood;</w:t>
      </w:r>
    </w:p>
    <w:p w14:paraId="2FA5402D" w14:textId="3E560434" w:rsidR="00A7422F" w:rsidRPr="00F4122E" w:rsidRDefault="00A7422F" w:rsidP="00510B7A">
      <w:pPr>
        <w:pStyle w:val="ListParagraph"/>
        <w:widowControl/>
        <w:numPr>
          <w:ilvl w:val="0"/>
          <w:numId w:val="9"/>
        </w:numPr>
        <w:spacing w:before="120" w:after="120"/>
        <w:ind w:left="714" w:hanging="357"/>
        <w:contextualSpacing w:val="0"/>
      </w:pPr>
      <w:r w:rsidRPr="002C22B7">
        <w:t>human milk is given to those toddlers who continue to breastfeed after their first year of life, and therefore the permission would</w:t>
      </w:r>
      <w:r>
        <w:t xml:space="preserve"> allow FSFYC</w:t>
      </w:r>
      <w:r w:rsidRPr="002C22B7">
        <w:t xml:space="preserve"> ingredients to align more closely to human milk for formula-fed babies.</w:t>
      </w:r>
    </w:p>
    <w:p w14:paraId="255FDC5F" w14:textId="5A1F5578" w:rsidR="00A52FD4" w:rsidRDefault="008A70D2" w:rsidP="00510B7A">
      <w:pPr>
        <w:widowControl/>
        <w:spacing w:before="120" w:after="120"/>
      </w:pPr>
      <w:r>
        <w:rPr>
          <w:lang w:val="en-AU"/>
        </w:rPr>
        <w:t xml:space="preserve">FSANZ understands </w:t>
      </w:r>
      <w:r>
        <w:rPr>
          <w:szCs w:val="22"/>
        </w:rPr>
        <w:t xml:space="preserve">from the application (Page 33) </w:t>
      </w:r>
      <w:r w:rsidR="007518C6" w:rsidRPr="006C6A6B">
        <w:rPr>
          <w:szCs w:val="22"/>
        </w:rPr>
        <w:t>2′-FL</w:t>
      </w:r>
      <w:r w:rsidR="007518C6">
        <w:rPr>
          <w:szCs w:val="22"/>
        </w:rPr>
        <w:t xml:space="preserve"> </w:t>
      </w:r>
      <w:r>
        <w:rPr>
          <w:szCs w:val="22"/>
        </w:rPr>
        <w:t xml:space="preserve">is most abundant in human milk, and only found in small or trace amounts in other </w:t>
      </w:r>
      <w:r w:rsidR="007518C6">
        <w:rPr>
          <w:szCs w:val="22"/>
        </w:rPr>
        <w:t>mammalian milks</w:t>
      </w:r>
      <w:r>
        <w:t xml:space="preserve">. </w:t>
      </w:r>
      <w:r w:rsidR="00E122BF">
        <w:rPr>
          <w:lang w:val="en-AU"/>
        </w:rPr>
        <w:t>Noting the decision made by the Food Ministers</w:t>
      </w:r>
      <w:r w:rsidR="00CB18A8">
        <w:rPr>
          <w:lang w:val="en-AU"/>
        </w:rPr>
        <w:t>’</w:t>
      </w:r>
      <w:r w:rsidR="00E122BF">
        <w:rPr>
          <w:lang w:val="en-AU"/>
        </w:rPr>
        <w:t xml:space="preserve"> Meeting</w:t>
      </w:r>
      <w:r w:rsidR="007518C6">
        <w:rPr>
          <w:lang w:val="en-AU"/>
        </w:rPr>
        <w:t>,</w:t>
      </w:r>
      <w:r w:rsidR="00E122BF">
        <w:rPr>
          <w:lang w:val="en-AU"/>
        </w:rPr>
        <w:t xml:space="preserve"> regarding the review for A1155,</w:t>
      </w:r>
      <w:r w:rsidR="007518C6">
        <w:rPr>
          <w:lang w:val="en-AU"/>
        </w:rPr>
        <w:t xml:space="preserve"> to not permit </w:t>
      </w:r>
      <w:r w:rsidR="007518C6" w:rsidRPr="006C6A6B">
        <w:rPr>
          <w:szCs w:val="22"/>
        </w:rPr>
        <w:t>2′-FL</w:t>
      </w:r>
      <w:r w:rsidR="007518C6">
        <w:rPr>
          <w:szCs w:val="22"/>
        </w:rPr>
        <w:t xml:space="preserve"> in FSFYC;</w:t>
      </w:r>
      <w:r w:rsidR="00E122BF">
        <w:rPr>
          <w:lang w:val="en-AU"/>
        </w:rPr>
        <w:t xml:space="preserve"> and to support the assessment of all available evidence for </w:t>
      </w:r>
      <w:r>
        <w:rPr>
          <w:lang w:val="en-AU"/>
        </w:rPr>
        <w:t>a</w:t>
      </w:r>
      <w:r w:rsidR="00E122BF">
        <w:rPr>
          <w:lang w:val="en-AU"/>
        </w:rPr>
        <w:t xml:space="preserve">pplication A1190, </w:t>
      </w:r>
      <w:r w:rsidR="001E0CE7">
        <w:rPr>
          <w:lang w:val="en-AU"/>
        </w:rPr>
        <w:t xml:space="preserve">FSANZ requested additional evidence from the applicant supporting a beneficial health </w:t>
      </w:r>
      <w:r w:rsidR="001E0CE7">
        <w:rPr>
          <w:lang w:val="en-AU"/>
        </w:rPr>
        <w:lastRenderedPageBreak/>
        <w:t xml:space="preserve">outcome in young children from the addition of </w:t>
      </w:r>
      <w:r w:rsidR="001E0CE7" w:rsidRPr="000F2E89">
        <w:rPr>
          <w:lang w:val="en-AU"/>
        </w:rPr>
        <w:t>2′-FL</w:t>
      </w:r>
      <w:r w:rsidR="001E0CE7">
        <w:rPr>
          <w:lang w:val="en-AU"/>
        </w:rPr>
        <w:t xml:space="preserve"> in FSFYC. No additional evidence was available from the applicant and FSANZ did not identify any new scientific literature independently. Additional studies were provided during the CFS </w:t>
      </w:r>
      <w:r w:rsidR="00280D17" w:rsidRPr="00FC1084">
        <w:rPr>
          <w:lang w:val="en-AU"/>
        </w:rPr>
        <w:t>from industry stakeholders,</w:t>
      </w:r>
      <w:r w:rsidR="00280D17">
        <w:rPr>
          <w:lang w:val="en-AU"/>
        </w:rPr>
        <w:t xml:space="preserve"> </w:t>
      </w:r>
      <w:r w:rsidR="001E0CE7">
        <w:rPr>
          <w:lang w:val="en-AU"/>
        </w:rPr>
        <w:t xml:space="preserve">however these were of low quality and limited relevance, and therefore did not change FSANZ’s conclusions </w:t>
      </w:r>
      <w:r w:rsidR="001E0CE7">
        <w:rPr>
          <w:rFonts w:cs="Arial"/>
        </w:rPr>
        <w:t xml:space="preserve">(see </w:t>
      </w:r>
      <w:r w:rsidR="001E0CE7">
        <w:t xml:space="preserve">SD1 and Section 2.1 and 2.2 of this report). </w:t>
      </w:r>
    </w:p>
    <w:p w14:paraId="6A0CB1A1" w14:textId="41BCEF56" w:rsidR="00A93F92" w:rsidRDefault="00A52FD4" w:rsidP="00510B7A">
      <w:pPr>
        <w:widowControl/>
        <w:spacing w:before="120" w:after="120"/>
      </w:pPr>
      <w:r w:rsidRPr="00FC1084">
        <w:t xml:space="preserve">Under section 30 of the </w:t>
      </w:r>
      <w:hyperlink r:id="rId21" w:history="1">
        <w:r w:rsidRPr="00FC1084">
          <w:rPr>
            <w:rStyle w:val="Hyperlink"/>
            <w:rFonts w:cs="Arial"/>
            <w:lang w:val="en-AU"/>
          </w:rPr>
          <w:t>FSANZ Act</w:t>
        </w:r>
      </w:hyperlink>
      <w:r w:rsidRPr="00FC1084">
        <w:t xml:space="preserve">, </w:t>
      </w:r>
      <w:r w:rsidR="00575A95" w:rsidRPr="00FC1084">
        <w:t xml:space="preserve">the applicant was notified of </w:t>
      </w:r>
      <w:r w:rsidRPr="00FC1084">
        <w:t xml:space="preserve">the proposed draft variation and how it differed to that requested in the application. Of note, the notification outlined that FSANZ was not proposing to permit the addition of </w:t>
      </w:r>
      <w:r w:rsidRPr="00FC1084">
        <w:rPr>
          <w:lang w:val="en-AU"/>
        </w:rPr>
        <w:t xml:space="preserve">2′-FL in FSFYC. </w:t>
      </w:r>
      <w:r w:rsidRPr="00FC1084">
        <w:rPr>
          <w:rFonts w:cs="Arial"/>
          <w:lang w:val="en-AU"/>
        </w:rPr>
        <w:t>Before public release of the Call for Submissions,</w:t>
      </w:r>
      <w:r w:rsidRPr="00FC1084">
        <w:rPr>
          <w:lang w:val="en-AU"/>
        </w:rPr>
        <w:t xml:space="preserve"> the applicant accepted this variation and </w:t>
      </w:r>
      <w:r w:rsidR="00575A95" w:rsidRPr="00FC1084">
        <w:rPr>
          <w:lang w:val="en-AU"/>
        </w:rPr>
        <w:t>agreed</w:t>
      </w:r>
      <w:r w:rsidRPr="00FC1084">
        <w:rPr>
          <w:lang w:val="en-AU"/>
        </w:rPr>
        <w:t xml:space="preserve"> to proceed.</w:t>
      </w:r>
    </w:p>
    <w:p w14:paraId="367F81CC" w14:textId="3EE6E455" w:rsidR="00C413C9" w:rsidRPr="00C413C9" w:rsidRDefault="00C413C9" w:rsidP="00E122BF">
      <w:pPr>
        <w:pStyle w:val="Heading4"/>
      </w:pPr>
      <w:r w:rsidRPr="003A1C2F">
        <w:t xml:space="preserve">The five year review for </w:t>
      </w:r>
      <w:r w:rsidRPr="00C413C9">
        <w:t>2′-FL and LNnT in Infant Formula Products.</w:t>
      </w:r>
    </w:p>
    <w:p w14:paraId="1C21F860" w14:textId="48595456" w:rsidR="00C413C9" w:rsidRDefault="00C413C9" w:rsidP="00510B7A">
      <w:pPr>
        <w:widowControl/>
        <w:spacing w:before="120" w:after="120"/>
      </w:pPr>
      <w:r>
        <w:t xml:space="preserve">FSANZ acknowledges </w:t>
      </w:r>
      <w:r w:rsidRPr="00C413C9">
        <w:t xml:space="preserve">Food Ministers agreed to </w:t>
      </w:r>
      <w:r>
        <w:t xml:space="preserve">permit </w:t>
      </w:r>
      <w:r w:rsidRPr="00C413C9">
        <w:t>2′-FL (</w:t>
      </w:r>
      <w:r>
        <w:t>alone or in combination with</w:t>
      </w:r>
      <w:r w:rsidRPr="00C413C9">
        <w:t xml:space="preserve"> LNnT)</w:t>
      </w:r>
      <w:r>
        <w:t xml:space="preserve"> </w:t>
      </w:r>
      <w:r w:rsidR="00CE494F" w:rsidRPr="00FC1084">
        <w:t>in IFP</w:t>
      </w:r>
      <w:r w:rsidR="00CE494F">
        <w:t xml:space="preserve"> </w:t>
      </w:r>
      <w:r>
        <w:t xml:space="preserve">under the condition that </w:t>
      </w:r>
      <w:r w:rsidRPr="00C413C9">
        <w:t>a five year review</w:t>
      </w:r>
      <w:r w:rsidR="001E0FF1">
        <w:rPr>
          <w:rStyle w:val="FootnoteReference"/>
        </w:rPr>
        <w:footnoteReference w:id="22"/>
      </w:r>
      <w:r w:rsidRPr="00C413C9">
        <w:t xml:space="preserve"> </w:t>
      </w:r>
      <w:r>
        <w:t>(</w:t>
      </w:r>
      <w:r w:rsidRPr="00C413C9">
        <w:t>date</w:t>
      </w:r>
      <w:r>
        <w:t>d</w:t>
      </w:r>
      <w:r w:rsidRPr="00C413C9">
        <w:t xml:space="preserve"> from gazettal</w:t>
      </w:r>
      <w:r>
        <w:t>)</w:t>
      </w:r>
      <w:r w:rsidRPr="00C413C9">
        <w:t xml:space="preserve"> of the initial (A1155) permission </w:t>
      </w:r>
      <w:r>
        <w:t xml:space="preserve">be undertaken by FSANZ. </w:t>
      </w:r>
      <w:r w:rsidR="00CE494F" w:rsidRPr="00FC1084">
        <w:t>Any permission granted for 2′-FL is subject to this condition.</w:t>
      </w:r>
      <w:r w:rsidR="00CE494F">
        <w:t xml:space="preserve"> </w:t>
      </w:r>
      <w:r>
        <w:t>FSANZ ensure</w:t>
      </w:r>
      <w:r w:rsidR="001E0FF1">
        <w:t>s</w:t>
      </w:r>
      <w:r>
        <w:t xml:space="preserve"> any applicant wishing to submit an application to permit a new source of </w:t>
      </w:r>
      <w:r w:rsidRPr="00C413C9">
        <w:t>2′-FL</w:t>
      </w:r>
      <w:r>
        <w:t xml:space="preserve"> is aware of this condition prior to lodgement.</w:t>
      </w:r>
    </w:p>
    <w:p w14:paraId="2242A5D6" w14:textId="0D1A746C" w:rsidR="00A7422F" w:rsidRPr="00DE5CC1" w:rsidRDefault="00246EBF" w:rsidP="00DE5CC1">
      <w:pPr>
        <w:pStyle w:val="Heading2"/>
      </w:pPr>
      <w:bookmarkStart w:id="84" w:name="_Toc73104826"/>
      <w:bookmarkStart w:id="85" w:name="_Toc77338773"/>
      <w:bookmarkStart w:id="86" w:name="_Toc81995095"/>
      <w:r>
        <w:t>3</w:t>
      </w:r>
      <w:r w:rsidR="00A7422F" w:rsidRPr="00DE5CC1">
        <w:t>.</w:t>
      </w:r>
      <w:r w:rsidR="000E1758" w:rsidRPr="00DE5CC1">
        <w:t>2</w:t>
      </w:r>
      <w:r w:rsidR="00A7422F" w:rsidRPr="00DE5CC1">
        <w:tab/>
        <w:t>Labelling</w:t>
      </w:r>
      <w:bookmarkEnd w:id="84"/>
      <w:bookmarkEnd w:id="85"/>
      <w:bookmarkEnd w:id="86"/>
    </w:p>
    <w:p w14:paraId="71E0B877" w14:textId="0DBDB63D" w:rsidR="00A7422F" w:rsidRDefault="00A7422F" w:rsidP="00510B7A">
      <w:pPr>
        <w:widowControl/>
        <w:spacing w:before="120" w:after="120"/>
      </w:pPr>
      <w:r>
        <w:t xml:space="preserve">Given the risk management approach excludes FSFYC, </w:t>
      </w:r>
      <w:r w:rsidR="005F1E79">
        <w:t xml:space="preserve">the </w:t>
      </w:r>
      <w:r w:rsidR="00596567">
        <w:t xml:space="preserve">application </w:t>
      </w:r>
      <w:r>
        <w:t>of l</w:t>
      </w:r>
      <w:r w:rsidRPr="006824C6">
        <w:t>abelling</w:t>
      </w:r>
      <w:r>
        <w:t xml:space="preserve"> requirements for the proposed permission for addition of </w:t>
      </w:r>
      <w:r w:rsidRPr="004F018C">
        <w:rPr>
          <w:lang w:val="en-AU"/>
        </w:rPr>
        <w:t>2′-FL</w:t>
      </w:r>
      <w:r>
        <w:rPr>
          <w:lang w:val="en-AU"/>
        </w:rPr>
        <w:t xml:space="preserve"> in </w:t>
      </w:r>
      <w:r>
        <w:t>IFP are discussed below.</w:t>
      </w:r>
    </w:p>
    <w:p w14:paraId="55119023" w14:textId="53622594" w:rsidR="00A7422F" w:rsidRPr="00DE5CC1" w:rsidRDefault="00246EBF" w:rsidP="00DE5CC1">
      <w:pPr>
        <w:pStyle w:val="Heading3"/>
      </w:pPr>
      <w:bookmarkStart w:id="87" w:name="_Toc73104827"/>
      <w:bookmarkStart w:id="88" w:name="_Toc77338774"/>
      <w:bookmarkStart w:id="89" w:name="_Toc81995096"/>
      <w:r>
        <w:t>3</w:t>
      </w:r>
      <w:r w:rsidR="00A7422F" w:rsidRPr="00DE5CC1">
        <w:t>.2.1</w:t>
      </w:r>
      <w:r w:rsidR="00A7422F" w:rsidRPr="00DE5CC1">
        <w:tab/>
        <w:t>Statement of ingredients</w:t>
      </w:r>
      <w:bookmarkEnd w:id="87"/>
      <w:bookmarkEnd w:id="88"/>
      <w:bookmarkEnd w:id="89"/>
    </w:p>
    <w:p w14:paraId="5105F0C7" w14:textId="6CC73739" w:rsidR="00A7422F" w:rsidRDefault="00A7422F" w:rsidP="00510B7A">
      <w:pPr>
        <w:widowControl/>
        <w:spacing w:before="120" w:after="120"/>
      </w:pPr>
      <w:r>
        <w:t xml:space="preserve">Standard 1.2.4 requires food for sale to be labelled with a statement of ingredients unless exempt. The label on a package of IFP must contain a statement of ingredients. Should manufacturers choose to add the applicant’s 2′-FL </w:t>
      </w:r>
      <w:r>
        <w:rPr>
          <w:lang w:bidi="ar-SA"/>
        </w:rPr>
        <w:t xml:space="preserve">alone or combined with LNnT </w:t>
      </w:r>
      <w:r>
        <w:t xml:space="preserve">to IFP, then this substance must be declared in the </w:t>
      </w:r>
      <w:r w:rsidR="001B4812">
        <w:t>statement of ingredients.</w:t>
      </w:r>
    </w:p>
    <w:p w14:paraId="5E419E0A" w14:textId="3262E9E9" w:rsidR="00A7422F" w:rsidRDefault="00A7422F" w:rsidP="00510B7A">
      <w:pPr>
        <w:widowControl/>
        <w:spacing w:before="120" w:after="120"/>
      </w:pPr>
      <w:r>
        <w:rPr>
          <w:lang w:bidi="ar-SA"/>
        </w:rPr>
        <w:t>Generic ingredient labelling</w:t>
      </w:r>
      <w:r>
        <w:t xml:space="preserve"> provisions in </w:t>
      </w:r>
      <w:r w:rsidR="00B05F7E">
        <w:t>Section</w:t>
      </w:r>
      <w:r>
        <w:t xml:space="preserve"> 1.2.4—4 require ingredients to be identified using a name by which they are commonly known, or a name that describes its true nature, or a generic ingredient name if one is specified in Schedule 10 </w:t>
      </w:r>
      <w:r w:rsidRPr="00EC6BBC">
        <w:rPr>
          <w:i/>
        </w:rPr>
        <w:t>Generic names of ingredients and conditions for their use</w:t>
      </w:r>
      <w:r w:rsidR="001B4812">
        <w:t xml:space="preserve">. </w:t>
      </w:r>
    </w:p>
    <w:p w14:paraId="1658D85A" w14:textId="266E3FAC" w:rsidR="00A7422F" w:rsidRDefault="00A7422F" w:rsidP="00510B7A">
      <w:pPr>
        <w:widowControl/>
        <w:spacing w:before="120" w:after="120"/>
      </w:pPr>
      <w:r w:rsidRPr="00F2395B">
        <w:t xml:space="preserve">Noting the existing prohibited representations in paragraphs 2.9.1—24(1)(ca) and (cb) (refer </w:t>
      </w:r>
      <w:r w:rsidR="00B05F7E">
        <w:t>Section</w:t>
      </w:r>
      <w:r w:rsidRPr="00F2395B">
        <w:t xml:space="preserve"> </w:t>
      </w:r>
      <w:r w:rsidR="00B05F7E">
        <w:t>3</w:t>
      </w:r>
      <w:r w:rsidRPr="00F2395B">
        <w:t>.</w:t>
      </w:r>
      <w:r>
        <w:t>2</w:t>
      </w:r>
      <w:r w:rsidRPr="00F2395B">
        <w:t>.3 below),</w:t>
      </w:r>
      <w:r>
        <w:t xml:space="preserve"> these existing ingredient naming requirements w</w:t>
      </w:r>
      <w:r w:rsidR="0073504E">
        <w:t>ill</w:t>
      </w:r>
      <w:r>
        <w:t xml:space="preserve"> apply to 2′-FL, enabling industry to have flexibility in how they declare this ingredient </w:t>
      </w:r>
      <w:r w:rsidDel="009945FB">
        <w:t xml:space="preserve">(for example, using the scientific name </w:t>
      </w:r>
      <w:r w:rsidRPr="007D6410" w:rsidDel="009945FB">
        <w:t>‘2</w:t>
      </w:r>
      <w:r w:rsidDel="009945FB">
        <w:t>′</w:t>
      </w:r>
      <w:r w:rsidRPr="007D6410" w:rsidDel="009945FB">
        <w:t>-fucosyllactose’</w:t>
      </w:r>
      <w:r w:rsidDel="009945FB">
        <w:t xml:space="preserve">). </w:t>
      </w:r>
    </w:p>
    <w:p w14:paraId="6970ABB1" w14:textId="17D6AAEA" w:rsidR="00A7422F" w:rsidRPr="00DE5CC1" w:rsidRDefault="00246EBF" w:rsidP="00DE5CC1">
      <w:pPr>
        <w:pStyle w:val="Heading3"/>
      </w:pPr>
      <w:bookmarkStart w:id="90" w:name="_Toc73104828"/>
      <w:bookmarkStart w:id="91" w:name="_Toc77338775"/>
      <w:bookmarkStart w:id="92" w:name="_Toc81995097"/>
      <w:r>
        <w:t>3</w:t>
      </w:r>
      <w:r w:rsidR="00A7422F" w:rsidRPr="00DE5CC1">
        <w:t>.2.2</w:t>
      </w:r>
      <w:r w:rsidR="00A7422F" w:rsidRPr="00DE5CC1">
        <w:tab/>
        <w:t>Mandatory nutrition information</w:t>
      </w:r>
      <w:bookmarkEnd w:id="90"/>
      <w:bookmarkEnd w:id="91"/>
      <w:bookmarkEnd w:id="92"/>
    </w:p>
    <w:p w14:paraId="5F328448" w14:textId="6F6EF805" w:rsidR="00A7422F" w:rsidRPr="003E7621" w:rsidRDefault="00A7422F" w:rsidP="00510B7A">
      <w:pPr>
        <w:widowControl/>
        <w:spacing w:before="120" w:after="120"/>
      </w:pPr>
      <w:r>
        <w:t>S</w:t>
      </w:r>
      <w:r w:rsidRPr="003E7621">
        <w:t xml:space="preserve">ection 2.9.1—21 regulates the declaration of nutrition information in a nutrition information statement </w:t>
      </w:r>
      <w:r w:rsidR="00761080">
        <w:t xml:space="preserve">(NIS) </w:t>
      </w:r>
      <w:r w:rsidRPr="003E7621">
        <w:t>on the label</w:t>
      </w:r>
      <w:r>
        <w:t xml:space="preserve"> of IFP</w:t>
      </w:r>
      <w:r w:rsidRPr="003E7621">
        <w:t xml:space="preserve">. The </w:t>
      </w:r>
      <w:r>
        <w:t xml:space="preserve">NIS is a </w:t>
      </w:r>
      <w:r w:rsidRPr="003E7621">
        <w:t xml:space="preserve">single statement and may be in the form of a table, as </w:t>
      </w:r>
      <w:r>
        <w:t xml:space="preserve">indicated in </w:t>
      </w:r>
      <w:r w:rsidR="00B05F7E">
        <w:t>Section</w:t>
      </w:r>
      <w:r>
        <w:t xml:space="preserve"> S29—10 </w:t>
      </w:r>
      <w:r w:rsidRPr="00763CAC">
        <w:rPr>
          <w:i/>
        </w:rPr>
        <w:t>Guidelines for infant formula products</w:t>
      </w:r>
      <w:r w:rsidRPr="00303B58">
        <w:t xml:space="preserve">. </w:t>
      </w:r>
    </w:p>
    <w:p w14:paraId="30099DFE" w14:textId="0F2DC4EA" w:rsidR="00A7422F" w:rsidRPr="003E7621" w:rsidRDefault="00A7422F" w:rsidP="00510B7A">
      <w:pPr>
        <w:widowControl/>
        <w:spacing w:before="120" w:after="120"/>
      </w:pPr>
      <w:r w:rsidRPr="003E7621">
        <w:t xml:space="preserve">Paragraph 2.9.1—21(1)(iii) requires the average amount of </w:t>
      </w:r>
      <w:r>
        <w:t xml:space="preserve">any </w:t>
      </w:r>
      <w:r w:rsidRPr="003E7621">
        <w:t xml:space="preserve">substance </w:t>
      </w:r>
      <w:r w:rsidRPr="00303B58">
        <w:t>used as a nutritive substance</w:t>
      </w:r>
      <w:r w:rsidRPr="003E7621">
        <w:t xml:space="preserve"> permitted by the </w:t>
      </w:r>
      <w:r w:rsidR="00DD2916">
        <w:t>S</w:t>
      </w:r>
      <w:r w:rsidR="00DD2916" w:rsidRPr="003E7621">
        <w:t xml:space="preserve">tandard </w:t>
      </w:r>
      <w:r w:rsidRPr="003E7621">
        <w:t xml:space="preserve">to be declared in the </w:t>
      </w:r>
      <w:r>
        <w:t>NIS</w:t>
      </w:r>
      <w:r w:rsidRPr="003E7621">
        <w:t xml:space="preserve">. </w:t>
      </w:r>
      <w:r>
        <w:t xml:space="preserve">The specific </w:t>
      </w:r>
      <w:r w:rsidRPr="003E7621">
        <w:t>2′-FL</w:t>
      </w:r>
      <w:r>
        <w:t xml:space="preserve"> in this application</w:t>
      </w:r>
      <w:r w:rsidDel="008B0E51">
        <w:t xml:space="preserve"> </w:t>
      </w:r>
      <w:r>
        <w:t>w</w:t>
      </w:r>
      <w:r w:rsidR="0073504E">
        <w:t>ill</w:t>
      </w:r>
      <w:r>
        <w:t xml:space="preserve"> need to </w:t>
      </w:r>
      <w:r w:rsidRPr="003E7621">
        <w:t xml:space="preserve">be declared in the </w:t>
      </w:r>
      <w:r>
        <w:t>NIS</w:t>
      </w:r>
      <w:r w:rsidRPr="009B46A8">
        <w:t xml:space="preserve"> </w:t>
      </w:r>
      <w:r w:rsidRPr="003E7621">
        <w:t xml:space="preserve">when </w:t>
      </w:r>
      <w:r>
        <w:t>it is voluntarily added to a IFP</w:t>
      </w:r>
      <w:r w:rsidRPr="003E7621">
        <w:t xml:space="preserve">. </w:t>
      </w:r>
    </w:p>
    <w:p w14:paraId="7BFED8F6" w14:textId="4F800D32" w:rsidR="00A7422F" w:rsidRPr="00DE5CC1" w:rsidRDefault="00246EBF" w:rsidP="00DE5CC1">
      <w:pPr>
        <w:pStyle w:val="Heading3"/>
      </w:pPr>
      <w:bookmarkStart w:id="93" w:name="_Toc73104829"/>
      <w:bookmarkStart w:id="94" w:name="_Toc77338776"/>
      <w:bookmarkStart w:id="95" w:name="_Toc81995098"/>
      <w:r>
        <w:t>3</w:t>
      </w:r>
      <w:r w:rsidR="00A7422F" w:rsidRPr="00DE5CC1">
        <w:t>.2.3</w:t>
      </w:r>
      <w:r w:rsidR="00A7422F" w:rsidRPr="00DE5CC1">
        <w:tab/>
        <w:t>Prohibited representations</w:t>
      </w:r>
      <w:bookmarkEnd w:id="93"/>
      <w:bookmarkEnd w:id="94"/>
      <w:bookmarkEnd w:id="95"/>
      <w:r w:rsidR="00A7422F" w:rsidRPr="00DE5CC1">
        <w:t xml:space="preserve"> </w:t>
      </w:r>
    </w:p>
    <w:p w14:paraId="7AD63E57" w14:textId="294BA64F" w:rsidR="00A7422F" w:rsidRDefault="00A7422F" w:rsidP="00510B7A">
      <w:pPr>
        <w:widowControl/>
        <w:spacing w:before="120" w:after="120"/>
        <w:rPr>
          <w:rFonts w:cs="Arial"/>
          <w:szCs w:val="22"/>
        </w:rPr>
      </w:pPr>
      <w:r>
        <w:rPr>
          <w:rFonts w:cs="Arial"/>
          <w:szCs w:val="22"/>
        </w:rPr>
        <w:t>P</w:t>
      </w:r>
      <w:r w:rsidRPr="00325272">
        <w:t xml:space="preserve">aragraph 2.9.1—24(1)(ca) prohibits the use of the words ‘human milk oligosaccharide’, ‘human milk identical oligosaccharide’ or any word or words having the same or similar </w:t>
      </w:r>
      <w:r w:rsidRPr="00325272">
        <w:lastRenderedPageBreak/>
        <w:t>effect. In addition, paragraph 2.9.1—24(1)(cb) prohibits the use of the abbreviations ‘HMO’ or ‘HiMO’ or any abbreviation having the same or similar effect.</w:t>
      </w:r>
      <w:r>
        <w:t xml:space="preserve"> The words and abbreviations in these provisions cannot be </w:t>
      </w:r>
      <w:r w:rsidRPr="00225692">
        <w:t xml:space="preserve">used </w:t>
      </w:r>
      <w:r>
        <w:t>anywhere on the label of a package of IFP.</w:t>
      </w:r>
      <w:r w:rsidR="0073504E">
        <w:t xml:space="preserve"> The </w:t>
      </w:r>
      <w:r w:rsidR="0073504E" w:rsidRPr="0073504E">
        <w:t xml:space="preserve">applicant’s 2′-FL </w:t>
      </w:r>
      <w:r w:rsidR="0073504E">
        <w:t>will be subject to these prohibited representations.</w:t>
      </w:r>
    </w:p>
    <w:p w14:paraId="08227BE1" w14:textId="2AD54355" w:rsidR="00A7422F" w:rsidRPr="00DE5CC1" w:rsidRDefault="00246EBF" w:rsidP="00DE5CC1">
      <w:pPr>
        <w:pStyle w:val="Heading3"/>
      </w:pPr>
      <w:bookmarkStart w:id="96" w:name="_Toc77338777"/>
      <w:bookmarkStart w:id="97" w:name="_Toc81995099"/>
      <w:r>
        <w:t>3</w:t>
      </w:r>
      <w:r w:rsidR="00A7422F" w:rsidRPr="00DE5CC1">
        <w:t>.2.4</w:t>
      </w:r>
      <w:r w:rsidR="00A7422F" w:rsidRPr="00DE5CC1">
        <w:tab/>
        <w:t>Voluntary representations</w:t>
      </w:r>
      <w:bookmarkEnd w:id="96"/>
      <w:bookmarkEnd w:id="97"/>
    </w:p>
    <w:p w14:paraId="2DF72C59" w14:textId="5F879FE4" w:rsidR="00A7422F" w:rsidRDefault="00A7422F" w:rsidP="00510B7A">
      <w:pPr>
        <w:widowControl/>
        <w:spacing w:before="120" w:after="120"/>
      </w:pPr>
      <w:r w:rsidRPr="00EB7729">
        <w:t xml:space="preserve">Subsection 1.2.7—4(b) of Standard 1.2.7 states that a nutrition content or health claim must not be made about an </w:t>
      </w:r>
      <w:r>
        <w:t>IFP</w:t>
      </w:r>
      <w:r w:rsidRPr="00EB7729">
        <w:t>.</w:t>
      </w:r>
      <w:r>
        <w:t xml:space="preserve"> </w:t>
      </w:r>
      <w:r w:rsidRPr="00EB7729">
        <w:t xml:space="preserve">The prohibition is also set out in </w:t>
      </w:r>
      <w:r w:rsidR="00B05F7E">
        <w:t>Section</w:t>
      </w:r>
      <w:r w:rsidRPr="00EB7729">
        <w:t xml:space="preserve"> 2.9.1—24 (1)(f) of Standard 2.9.1, which prohibits a reference to the presence of a nutrient or substance that may be used as a nutritive substance, except for a statement relating to lactose, </w:t>
      </w:r>
      <w:r>
        <w:t xml:space="preserve">in the </w:t>
      </w:r>
      <w:r w:rsidRPr="00EB7729">
        <w:t xml:space="preserve">statement of ingredients or </w:t>
      </w:r>
      <w:r>
        <w:t>the NIS</w:t>
      </w:r>
      <w:r w:rsidRPr="00EB7729">
        <w:t>.</w:t>
      </w:r>
      <w:r>
        <w:t xml:space="preserve"> </w:t>
      </w:r>
      <w:r w:rsidRPr="000462EA">
        <w:t>Th</w:t>
      </w:r>
      <w:r>
        <w:t xml:space="preserve">is </w:t>
      </w:r>
      <w:r w:rsidRPr="000462EA">
        <w:t xml:space="preserve">existing prohibition for nutrition content and health claims for </w:t>
      </w:r>
      <w:r>
        <w:t>IFPs</w:t>
      </w:r>
      <w:r w:rsidRPr="000462EA">
        <w:t xml:space="preserve"> w</w:t>
      </w:r>
      <w:r w:rsidR="0073504E">
        <w:t>ill</w:t>
      </w:r>
      <w:r w:rsidRPr="000462EA" w:rsidDel="00724A02">
        <w:t xml:space="preserve"> </w:t>
      </w:r>
      <w:r w:rsidRPr="000462EA">
        <w:t xml:space="preserve">apply to 2′-FL. </w:t>
      </w:r>
    </w:p>
    <w:p w14:paraId="7E6D225A" w14:textId="14A2D480" w:rsidR="00A7422F" w:rsidRPr="00DE5CC1" w:rsidRDefault="00246EBF" w:rsidP="00DE5CC1">
      <w:pPr>
        <w:pStyle w:val="Heading3"/>
      </w:pPr>
      <w:bookmarkStart w:id="98" w:name="_Toc73104830"/>
      <w:bookmarkStart w:id="99" w:name="_Toc77338778"/>
      <w:bookmarkStart w:id="100" w:name="_Toc81995100"/>
      <w:r>
        <w:t>3</w:t>
      </w:r>
      <w:r w:rsidR="00A7422F" w:rsidRPr="00DE5CC1">
        <w:t>.2.5</w:t>
      </w:r>
      <w:r w:rsidR="00A7422F" w:rsidRPr="00DE5CC1">
        <w:tab/>
        <w:t>Labelling as ‘genetically modified’</w:t>
      </w:r>
      <w:bookmarkEnd w:id="98"/>
      <w:bookmarkEnd w:id="99"/>
      <w:bookmarkEnd w:id="100"/>
    </w:p>
    <w:p w14:paraId="3BCBD699" w14:textId="57AF691D" w:rsidR="00A7422F" w:rsidRDefault="00A7422F" w:rsidP="00510B7A">
      <w:pPr>
        <w:widowControl/>
        <w:spacing w:before="120" w:after="120"/>
      </w:pPr>
      <w:r>
        <w:t xml:space="preserve">As discussed in the </w:t>
      </w:r>
      <w:r w:rsidRPr="002543AF">
        <w:t>safety and risk assessment report (SD1),</w:t>
      </w:r>
      <w:r>
        <w:t xml:space="preserve"> the applicant’s </w:t>
      </w:r>
      <w:r w:rsidRPr="003E7621">
        <w:t xml:space="preserve">2′-FL </w:t>
      </w:r>
      <w:r>
        <w:t xml:space="preserve">is </w:t>
      </w:r>
      <w:r w:rsidRPr="003E7621">
        <w:t xml:space="preserve">highly </w:t>
      </w:r>
      <w:r w:rsidRPr="003E7621">
        <w:rPr>
          <w:rFonts w:cs="Arial"/>
        </w:rPr>
        <w:t>unlikely to contain</w:t>
      </w:r>
      <w:r w:rsidRPr="003E7621">
        <w:t xml:space="preserve"> novel protein or </w:t>
      </w:r>
      <w:r w:rsidR="00B3595C">
        <w:t xml:space="preserve">novel </w:t>
      </w:r>
      <w:r w:rsidRPr="003E7621">
        <w:t xml:space="preserve">DNA </w:t>
      </w:r>
      <w:r w:rsidRPr="003E7621">
        <w:rPr>
          <w:rFonts w:cs="Arial"/>
        </w:rPr>
        <w:t xml:space="preserve">due to </w:t>
      </w:r>
      <w:r w:rsidRPr="003E7621">
        <w:t xml:space="preserve">the </w:t>
      </w:r>
      <w:r w:rsidRPr="003E7621">
        <w:rPr>
          <w:rFonts w:cs="Arial"/>
        </w:rPr>
        <w:t>purification step used</w:t>
      </w:r>
      <w:r w:rsidRPr="003E7621">
        <w:t xml:space="preserve"> in the production of </w:t>
      </w:r>
      <w:r w:rsidRPr="003E7621">
        <w:rPr>
          <w:rFonts w:cs="Arial"/>
        </w:rPr>
        <w:t>th</w:t>
      </w:r>
      <w:r>
        <w:rPr>
          <w:rFonts w:cs="Arial"/>
        </w:rPr>
        <w:t xml:space="preserve">is </w:t>
      </w:r>
      <w:r w:rsidRPr="003E7621">
        <w:rPr>
          <w:rFonts w:cs="Arial"/>
        </w:rPr>
        <w:t>oligosaccharide</w:t>
      </w:r>
      <w:r w:rsidRPr="003E7621">
        <w:t>.</w:t>
      </w:r>
      <w:r>
        <w:t xml:space="preserve"> </w:t>
      </w:r>
      <w:r w:rsidRPr="003E7621">
        <w:t>It is therefore highly unlikely that novel protein</w:t>
      </w:r>
      <w:r>
        <w:t xml:space="preserve"> or </w:t>
      </w:r>
      <w:r w:rsidR="00B3595C">
        <w:t xml:space="preserve">novel </w:t>
      </w:r>
      <w:r>
        <w:t>DNA</w:t>
      </w:r>
      <w:r w:rsidRPr="003E7621">
        <w:t xml:space="preserve"> will be present in an </w:t>
      </w:r>
      <w:r>
        <w:t>IFP</w:t>
      </w:r>
      <w:r w:rsidRPr="003E7621">
        <w:t xml:space="preserve"> </w:t>
      </w:r>
      <w:r>
        <w:t>t</w:t>
      </w:r>
      <w:r w:rsidRPr="003E7621">
        <w:t xml:space="preserve">hat contains </w:t>
      </w:r>
      <w:r>
        <w:t xml:space="preserve">this </w:t>
      </w:r>
      <w:r w:rsidRPr="003E7621">
        <w:t>2′-FL</w:t>
      </w:r>
      <w:r>
        <w:t xml:space="preserve"> </w:t>
      </w:r>
      <w:r w:rsidRPr="003E7621">
        <w:t xml:space="preserve">as </w:t>
      </w:r>
      <w:r>
        <w:t xml:space="preserve">an </w:t>
      </w:r>
      <w:r w:rsidRPr="003E7621">
        <w:t xml:space="preserve">ingredient. However, where novel protein </w:t>
      </w:r>
      <w:r w:rsidR="00B3595C">
        <w:t xml:space="preserve">or novel DNA </w:t>
      </w:r>
      <w:r w:rsidRPr="003E7621">
        <w:t>is present, the requirement to label 2′-FL as ‘genetically modified’ w</w:t>
      </w:r>
      <w:r w:rsidR="0073504E">
        <w:t>ill</w:t>
      </w:r>
      <w:r w:rsidRPr="003E7621">
        <w:t xml:space="preserve"> apply in accordance with </w:t>
      </w:r>
      <w:r w:rsidR="00B05F7E">
        <w:t>Section</w:t>
      </w:r>
      <w:r w:rsidRPr="003E7621">
        <w:t xml:space="preserve"> 1.5.2—4 of Standard 1.5.2. </w:t>
      </w:r>
    </w:p>
    <w:p w14:paraId="15F487D2" w14:textId="5E54EEDF" w:rsidR="00A7422F" w:rsidRPr="00DE5CC1" w:rsidRDefault="00246EBF" w:rsidP="00DE5CC1">
      <w:pPr>
        <w:pStyle w:val="Heading2"/>
      </w:pPr>
      <w:bookmarkStart w:id="101" w:name="_Toc73104831"/>
      <w:bookmarkStart w:id="102" w:name="_Toc77338779"/>
      <w:bookmarkStart w:id="103" w:name="_Toc81995101"/>
      <w:r>
        <w:t>3</w:t>
      </w:r>
      <w:r w:rsidR="00A7422F" w:rsidRPr="00DE5CC1">
        <w:t>.3</w:t>
      </w:r>
      <w:r w:rsidR="00A7422F" w:rsidRPr="00DE5CC1">
        <w:tab/>
        <w:t>Permitted use of 2′-FL</w:t>
      </w:r>
      <w:bookmarkEnd w:id="101"/>
      <w:bookmarkEnd w:id="102"/>
      <w:bookmarkEnd w:id="103"/>
    </w:p>
    <w:p w14:paraId="09B3472D" w14:textId="41362F63" w:rsidR="00A7422F" w:rsidRDefault="00A7422F" w:rsidP="00510B7A">
      <w:pPr>
        <w:widowControl/>
        <w:spacing w:before="120" w:after="120"/>
        <w:rPr>
          <w:lang w:val="en-AU"/>
        </w:rPr>
      </w:pPr>
      <w:r>
        <w:rPr>
          <w:lang w:bidi="ar-SA"/>
        </w:rPr>
        <w:t>FSANZ note</w:t>
      </w:r>
      <w:r w:rsidR="00264B27">
        <w:rPr>
          <w:lang w:bidi="ar-SA"/>
        </w:rPr>
        <w:t>d</w:t>
      </w:r>
      <w:r>
        <w:rPr>
          <w:lang w:bidi="ar-SA"/>
        </w:rPr>
        <w:t xml:space="preserve"> the applicant requested a maximum use level for their </w:t>
      </w:r>
      <w:r>
        <w:rPr>
          <w:lang w:val="en-AU"/>
        </w:rPr>
        <w:t>2′</w:t>
      </w:r>
      <w:r w:rsidRPr="00E41E19">
        <w:rPr>
          <w:lang w:val="en-AU"/>
        </w:rPr>
        <w:t>-FL</w:t>
      </w:r>
      <w:r>
        <w:rPr>
          <w:lang w:val="en-AU"/>
        </w:rPr>
        <w:t xml:space="preserve"> of 2 g/L. The risk and safety assessment (see SD1) confirmed 2′</w:t>
      </w:r>
      <w:r w:rsidRPr="00E41E19">
        <w:rPr>
          <w:lang w:val="en-AU"/>
        </w:rPr>
        <w:t>-FL</w:t>
      </w:r>
      <w:r>
        <w:rPr>
          <w:lang w:val="en-AU"/>
        </w:rPr>
        <w:t xml:space="preserve"> is safe at the higher level of 2.4 g/L. 2′</w:t>
      </w:r>
      <w:r w:rsidRPr="00E41E19">
        <w:rPr>
          <w:lang w:val="en-AU"/>
        </w:rPr>
        <w:t>-FL</w:t>
      </w:r>
      <w:r>
        <w:rPr>
          <w:lang w:val="en-AU"/>
        </w:rPr>
        <w:t xml:space="preserve"> </w:t>
      </w:r>
      <w:r>
        <w:t>derived</w:t>
      </w:r>
      <w:r w:rsidRPr="0030376E">
        <w:t xml:space="preserve"> from </w:t>
      </w:r>
      <w:r w:rsidRPr="00650D32">
        <w:rPr>
          <w:i/>
        </w:rPr>
        <w:t>E. coli</w:t>
      </w:r>
      <w:r w:rsidRPr="0030376E">
        <w:t xml:space="preserve"> K-12</w:t>
      </w:r>
      <w:r>
        <w:t xml:space="preserve"> </w:t>
      </w:r>
      <w:r>
        <w:rPr>
          <w:lang w:val="en-AU"/>
        </w:rPr>
        <w:t>is already permitted in the Code at this higher level and this is within the range of concentrations of 2′</w:t>
      </w:r>
      <w:r w:rsidRPr="00E41E19">
        <w:rPr>
          <w:lang w:val="en-AU"/>
        </w:rPr>
        <w:t>-FL</w:t>
      </w:r>
      <w:r>
        <w:rPr>
          <w:lang w:val="en-AU"/>
        </w:rPr>
        <w:t xml:space="preserve"> found naturally in mature human milk. Additionally, the higher use level promotes a competitive food supply and provide</w:t>
      </w:r>
      <w:r w:rsidR="00264B27">
        <w:rPr>
          <w:lang w:val="en-AU"/>
        </w:rPr>
        <w:t>s</w:t>
      </w:r>
      <w:r>
        <w:rPr>
          <w:lang w:val="en-AU"/>
        </w:rPr>
        <w:t xml:space="preserve"> industry with pr</w:t>
      </w:r>
      <w:r w:rsidR="001B4812">
        <w:rPr>
          <w:lang w:val="en-AU"/>
        </w:rPr>
        <w:t>oduct innovation opportunities.</w:t>
      </w:r>
    </w:p>
    <w:p w14:paraId="463E9BAD" w14:textId="02015DB7" w:rsidR="00A7422F" w:rsidRDefault="00A7422F" w:rsidP="00510B7A">
      <w:pPr>
        <w:widowControl/>
        <w:spacing w:before="120" w:after="120"/>
      </w:pPr>
      <w:r>
        <w:rPr>
          <w:lang w:val="en-AU"/>
        </w:rPr>
        <w:t>FSANZ therefore propos</w:t>
      </w:r>
      <w:r w:rsidR="00264B27">
        <w:rPr>
          <w:lang w:val="en-AU"/>
        </w:rPr>
        <w:t>ed</w:t>
      </w:r>
      <w:r>
        <w:rPr>
          <w:lang w:val="en-AU"/>
        </w:rPr>
        <w:t xml:space="preserve"> a permission for the higher use level of 2.4 g/L or </w:t>
      </w:r>
      <w:r w:rsidRPr="00475703">
        <w:t>96 mg/100 kJ</w:t>
      </w:r>
      <w:r w:rsidR="001B4812">
        <w:t>.</w:t>
      </w:r>
    </w:p>
    <w:p w14:paraId="462B31AC" w14:textId="2C9E2FA2" w:rsidR="003A1C2F" w:rsidRDefault="00A7422F" w:rsidP="00510B7A">
      <w:pPr>
        <w:widowControl/>
        <w:spacing w:before="120" w:after="120"/>
        <w:rPr>
          <w:lang w:val="en-AU"/>
        </w:rPr>
      </w:pPr>
      <w:r>
        <w:t xml:space="preserve">FSANZ previously assessed and permitted </w:t>
      </w:r>
      <w:r>
        <w:rPr>
          <w:lang w:val="en-AU"/>
        </w:rPr>
        <w:t>2′</w:t>
      </w:r>
      <w:r w:rsidRPr="00E41E19">
        <w:rPr>
          <w:lang w:val="en-AU"/>
        </w:rPr>
        <w:t>-FL</w:t>
      </w:r>
      <w:r>
        <w:rPr>
          <w:lang w:val="en-AU"/>
        </w:rPr>
        <w:t xml:space="preserve"> alone or in combination with LnNT at specific concentrations. FSANZ ha</w:t>
      </w:r>
      <w:r w:rsidR="00B72101">
        <w:rPr>
          <w:lang w:val="en-AU"/>
        </w:rPr>
        <w:t>d</w:t>
      </w:r>
      <w:r>
        <w:rPr>
          <w:lang w:val="en-AU"/>
        </w:rPr>
        <w:t xml:space="preserve"> no concerns with these existing permissions applying to the applicant’s 2′</w:t>
      </w:r>
      <w:r w:rsidRPr="00E41E19">
        <w:rPr>
          <w:lang w:val="en-AU"/>
        </w:rPr>
        <w:t>-FL</w:t>
      </w:r>
      <w:r>
        <w:rPr>
          <w:lang w:val="en-AU"/>
        </w:rPr>
        <w:t>, noting</w:t>
      </w:r>
      <w:r w:rsidR="00B72101">
        <w:rPr>
          <w:lang w:val="en-AU"/>
        </w:rPr>
        <w:t xml:space="preserve"> an</w:t>
      </w:r>
      <w:r>
        <w:rPr>
          <w:lang w:val="en-AU"/>
        </w:rPr>
        <w:t xml:space="preserve"> exclusive use </w:t>
      </w:r>
      <w:r w:rsidR="00B72101">
        <w:rPr>
          <w:lang w:val="en-AU"/>
        </w:rPr>
        <w:t>period for</w:t>
      </w:r>
      <w:r>
        <w:rPr>
          <w:lang w:val="en-AU"/>
        </w:rPr>
        <w:t xml:space="preserve"> LnNT in the Code </w:t>
      </w:r>
      <w:r w:rsidR="00B72101">
        <w:rPr>
          <w:lang w:val="en-AU"/>
        </w:rPr>
        <w:t>is applicable</w:t>
      </w:r>
      <w:r>
        <w:rPr>
          <w:lang w:val="en-AU"/>
        </w:rPr>
        <w:t xml:space="preserve"> for a specific brand.</w:t>
      </w:r>
    </w:p>
    <w:p w14:paraId="12E2AA7C" w14:textId="4F60E1B5" w:rsidR="003A1C2F" w:rsidRDefault="003A1C2F" w:rsidP="009548D8">
      <w:pPr>
        <w:pStyle w:val="Heading3"/>
      </w:pPr>
      <w:r>
        <w:rPr>
          <w:lang w:val="en-AU"/>
        </w:rPr>
        <w:t>3.3.1</w:t>
      </w:r>
      <w:r>
        <w:tab/>
        <w:t>GM source permission in schedule 26</w:t>
      </w:r>
    </w:p>
    <w:p w14:paraId="4B9611E6" w14:textId="3D59F7EF" w:rsidR="003A1C2F" w:rsidRPr="009548D8" w:rsidRDefault="003A1C2F" w:rsidP="009548D8">
      <w:pPr>
        <w:rPr>
          <w:lang w:val="en-AU"/>
        </w:rPr>
      </w:pPr>
      <w:r w:rsidRPr="009548D8">
        <w:t xml:space="preserve">The 2′-FL being assessed in this application is produced via fermentation using a production system that includes multiple production strains sourced from </w:t>
      </w:r>
      <w:r w:rsidRPr="009548D8">
        <w:rPr>
          <w:i/>
        </w:rPr>
        <w:t>Escherichia coli</w:t>
      </w:r>
      <w:r w:rsidRPr="009548D8">
        <w:t xml:space="preserve"> BL21(DE3), a common strain for recombinant protein production. </w:t>
      </w:r>
      <w:r w:rsidRPr="009548D8">
        <w:rPr>
          <w:lang w:val="en-AU"/>
        </w:rPr>
        <w:t xml:space="preserve">FSANZ’s biotechnology assessment found the production strains sourced from </w:t>
      </w:r>
      <w:r w:rsidRPr="009548D8">
        <w:rPr>
          <w:i/>
          <w:lang w:val="en-AU"/>
        </w:rPr>
        <w:t>E. coli</w:t>
      </w:r>
      <w:r w:rsidRPr="009548D8">
        <w:rPr>
          <w:lang w:val="en-AU"/>
        </w:rPr>
        <w:t xml:space="preserve"> BL21(DE3) were as stated by the applicant and are safe. </w:t>
      </w:r>
      <w:r w:rsidRPr="009548D8">
        <w:t xml:space="preserve">Therefore, the draft variation to the Code gives permission for the use of </w:t>
      </w:r>
      <w:r w:rsidRPr="009548D8">
        <w:rPr>
          <w:lang w:val="en-AU"/>
        </w:rPr>
        <w:t xml:space="preserve">2′-FL from </w:t>
      </w:r>
      <w:r w:rsidRPr="009548D8">
        <w:rPr>
          <w:i/>
          <w:szCs w:val="22"/>
        </w:rPr>
        <w:t>Escherichia coli</w:t>
      </w:r>
      <w:r w:rsidRPr="009548D8">
        <w:rPr>
          <w:szCs w:val="22"/>
        </w:rPr>
        <w:t xml:space="preserve"> </w:t>
      </w:r>
      <w:r w:rsidRPr="009548D8">
        <w:t xml:space="preserve">BL21 strains so long as they contain the gene for alpha-1,2-fucosyltransferase from </w:t>
      </w:r>
      <w:r w:rsidRPr="009548D8">
        <w:rPr>
          <w:i/>
        </w:rPr>
        <w:t>Escherichia coli</w:t>
      </w:r>
      <w:r w:rsidRPr="009548D8">
        <w:t xml:space="preserve"> O126 and </w:t>
      </w:r>
      <w:r w:rsidRPr="009548D8">
        <w:rPr>
          <w:lang w:val="en-AU"/>
        </w:rPr>
        <w:t>they meet the specification at Schedule 3. This approach is consistent with existing permissions in the Code for 2′-FL.</w:t>
      </w:r>
    </w:p>
    <w:p w14:paraId="69312777" w14:textId="4F2807E8" w:rsidR="003A1C2F" w:rsidRDefault="003A1C2F" w:rsidP="009548D8">
      <w:pPr>
        <w:pStyle w:val="Heading3"/>
        <w:rPr>
          <w:lang w:val="en-AU"/>
        </w:rPr>
      </w:pPr>
      <w:r>
        <w:t>3.3.1</w:t>
      </w:r>
      <w:r>
        <w:tab/>
      </w:r>
      <w:r w:rsidRPr="004F018C">
        <w:rPr>
          <w:lang w:val="en-AU"/>
        </w:rPr>
        <w:t>2′-FL</w:t>
      </w:r>
      <w:r>
        <w:rPr>
          <w:lang w:val="en-AU"/>
        </w:rPr>
        <w:t xml:space="preserve"> in combination with LNnT</w:t>
      </w:r>
    </w:p>
    <w:p w14:paraId="3F896EA8" w14:textId="4BE98A8A" w:rsidR="003A1C2F" w:rsidRPr="001A20EA" w:rsidRDefault="003A1C2F" w:rsidP="003A1C2F">
      <w:pPr>
        <w:widowControl/>
        <w:spacing w:before="120" w:after="120"/>
      </w:pPr>
      <w:r>
        <w:rPr>
          <w:lang w:val="en-AU"/>
        </w:rPr>
        <w:t xml:space="preserve">FSANZ acknowledges that the current permissions in the Code permit </w:t>
      </w:r>
      <w:r w:rsidRPr="004F018C">
        <w:rPr>
          <w:lang w:val="en-AU"/>
        </w:rPr>
        <w:t>2′-FL</w:t>
      </w:r>
      <w:r>
        <w:rPr>
          <w:lang w:val="en-AU"/>
        </w:rPr>
        <w:t xml:space="preserve"> from any </w:t>
      </w:r>
      <w:r w:rsidR="00EF644E">
        <w:rPr>
          <w:lang w:val="en-AU"/>
        </w:rPr>
        <w:t xml:space="preserve">approved </w:t>
      </w:r>
      <w:r>
        <w:rPr>
          <w:lang w:val="en-AU"/>
        </w:rPr>
        <w:t xml:space="preserve">source to be used alone or in combination with LNnT (subject to certain conditions). The assessment undertaken for A1155 concluded that </w:t>
      </w:r>
      <w:r>
        <w:t xml:space="preserve">there are no public health and safety concerns associated with the addition of 2′-FL alone or in combination with LNnT </w:t>
      </w:r>
      <w:r>
        <w:lastRenderedPageBreak/>
        <w:t>to infant formula products at the proposed levels.</w:t>
      </w:r>
      <w:r>
        <w:rPr>
          <w:lang w:val="en-AU"/>
        </w:rPr>
        <w:t xml:space="preserve"> Given both the Applicant’s </w:t>
      </w:r>
      <w:r w:rsidRPr="004F018C">
        <w:rPr>
          <w:lang w:val="en-AU"/>
        </w:rPr>
        <w:t>2′-FL</w:t>
      </w:r>
      <w:r>
        <w:rPr>
          <w:lang w:val="en-AU"/>
        </w:rPr>
        <w:t xml:space="preserve"> and the </w:t>
      </w:r>
      <w:r w:rsidRPr="004F018C">
        <w:rPr>
          <w:lang w:val="en-AU"/>
        </w:rPr>
        <w:t>2′-FL</w:t>
      </w:r>
      <w:r>
        <w:rPr>
          <w:lang w:val="en-AU"/>
        </w:rPr>
        <w:t xml:space="preserve"> permitted by the Code are safe, and are chemically and structurally identical to </w:t>
      </w:r>
      <w:r w:rsidR="001A20EA">
        <w:rPr>
          <w:lang w:val="en-AU"/>
        </w:rPr>
        <w:t xml:space="preserve">each other and </w:t>
      </w:r>
      <w:r w:rsidRPr="004F018C">
        <w:rPr>
          <w:lang w:val="en-AU"/>
        </w:rPr>
        <w:t>2′-FL</w:t>
      </w:r>
      <w:r>
        <w:rPr>
          <w:lang w:val="en-AU"/>
        </w:rPr>
        <w:t xml:space="preserve"> from human milk, FSANZ is satisfied that current permissions in the Code are suitable.</w:t>
      </w:r>
    </w:p>
    <w:p w14:paraId="40CFD4BC" w14:textId="6A9AB09E" w:rsidR="00A7422F" w:rsidRPr="00DE5CC1" w:rsidRDefault="00246EBF" w:rsidP="00DE5CC1">
      <w:pPr>
        <w:pStyle w:val="Heading2"/>
      </w:pPr>
      <w:bookmarkStart w:id="104" w:name="_Toc73104832"/>
      <w:bookmarkStart w:id="105" w:name="_Toc77338780"/>
      <w:bookmarkStart w:id="106" w:name="_Toc81995102"/>
      <w:r>
        <w:t>3</w:t>
      </w:r>
      <w:r w:rsidR="00A7422F" w:rsidRPr="00DE5CC1">
        <w:t>.4</w:t>
      </w:r>
      <w:r w:rsidR="00A7422F" w:rsidRPr="00DE5CC1">
        <w:tab/>
        <w:t>Common substance names for 2′-FL</w:t>
      </w:r>
      <w:bookmarkEnd w:id="104"/>
      <w:bookmarkEnd w:id="105"/>
      <w:bookmarkEnd w:id="106"/>
    </w:p>
    <w:p w14:paraId="0F9166C0" w14:textId="3CC44A03" w:rsidR="00A7422F" w:rsidRDefault="00A7422F" w:rsidP="00510B7A">
      <w:pPr>
        <w:widowControl/>
        <w:spacing w:before="120" w:after="120"/>
        <w:rPr>
          <w:lang w:bidi="ar-SA"/>
        </w:rPr>
      </w:pPr>
      <w:r>
        <w:rPr>
          <w:lang w:bidi="ar-SA"/>
        </w:rPr>
        <w:t xml:space="preserve">FSANZ understands there are at least three possible common substance names for </w:t>
      </w:r>
      <w:r w:rsidRPr="00FD4EC3">
        <w:t>2′-FL</w:t>
      </w:r>
      <w:r w:rsidR="001B4812">
        <w:rPr>
          <w:lang w:bidi="ar-SA"/>
        </w:rPr>
        <w:t xml:space="preserve">: </w:t>
      </w:r>
      <w:r>
        <w:rPr>
          <w:lang w:bidi="ar-SA"/>
        </w:rPr>
        <w:t>2</w:t>
      </w:r>
      <w:r w:rsidRPr="001B4812">
        <w:rPr>
          <w:i/>
        </w:rPr>
        <w:t>′</w:t>
      </w:r>
      <w:r w:rsidR="001B4812" w:rsidRPr="001B4812">
        <w:rPr>
          <w:i/>
          <w:lang w:bidi="ar-SA"/>
        </w:rPr>
        <w:t>-fucosyllactose</w:t>
      </w:r>
      <w:r w:rsidR="001B4812">
        <w:rPr>
          <w:lang w:bidi="ar-SA"/>
        </w:rPr>
        <w:t xml:space="preserve">; </w:t>
      </w:r>
      <w:r w:rsidRPr="001B4812">
        <w:rPr>
          <w:i/>
          <w:lang w:bidi="ar-SA"/>
        </w:rPr>
        <w:t>2</w:t>
      </w:r>
      <w:r w:rsidRPr="001B4812">
        <w:rPr>
          <w:i/>
        </w:rPr>
        <w:t>′</w:t>
      </w:r>
      <w:r w:rsidRPr="001B4812">
        <w:rPr>
          <w:i/>
          <w:lang w:bidi="ar-SA"/>
        </w:rPr>
        <w:t>-O</w:t>
      </w:r>
      <w:r w:rsidR="001B4812" w:rsidRPr="001B4812">
        <w:rPr>
          <w:i/>
          <w:lang w:bidi="ar-SA"/>
        </w:rPr>
        <w:t>-fucosyllactose</w:t>
      </w:r>
      <w:r w:rsidR="001B4812">
        <w:rPr>
          <w:lang w:bidi="ar-SA"/>
        </w:rPr>
        <w:t xml:space="preserve">; and </w:t>
      </w:r>
      <w:r w:rsidR="001B4812" w:rsidRPr="001B4812">
        <w:rPr>
          <w:i/>
          <w:lang w:bidi="ar-SA"/>
        </w:rPr>
        <w:t>2′-fucosyl-D-lactose</w:t>
      </w:r>
      <w:r>
        <w:rPr>
          <w:lang w:bidi="ar-SA"/>
        </w:rPr>
        <w:t>. In previous application A1155, FSANZ adopted the common name used by the applicant “2</w:t>
      </w:r>
      <w:r w:rsidRPr="00FD4EC3">
        <w:t>′</w:t>
      </w:r>
      <w:r>
        <w:rPr>
          <w:lang w:bidi="ar-SA"/>
        </w:rPr>
        <w:t>-</w:t>
      </w:r>
      <w:r w:rsidRPr="00757A3E">
        <w:rPr>
          <w:lang w:bidi="ar-SA"/>
        </w:rPr>
        <w:t>O</w:t>
      </w:r>
      <w:r>
        <w:rPr>
          <w:lang w:bidi="ar-SA"/>
        </w:rPr>
        <w:t>-fucosyllactose” in the Code permissions. The applicant for A1190 has requested FSANZ use the common name “2</w:t>
      </w:r>
      <w:r w:rsidRPr="00FD4EC3">
        <w:t>′</w:t>
      </w:r>
      <w:r w:rsidR="001B4812">
        <w:rPr>
          <w:lang w:bidi="ar-SA"/>
        </w:rPr>
        <w:t xml:space="preserve">-fucosyllactose”. </w:t>
      </w:r>
    </w:p>
    <w:p w14:paraId="4E3120AB" w14:textId="77F28BA7" w:rsidR="00A7422F" w:rsidRDefault="00A7422F" w:rsidP="00510B7A">
      <w:pPr>
        <w:widowControl/>
        <w:spacing w:before="120" w:after="120"/>
        <w:rPr>
          <w:lang w:bidi="ar-SA"/>
        </w:rPr>
      </w:pPr>
      <w:r>
        <w:rPr>
          <w:lang w:bidi="ar-SA"/>
        </w:rPr>
        <w:t>During the assessment period</w:t>
      </w:r>
      <w:r w:rsidR="005435F6">
        <w:rPr>
          <w:lang w:bidi="ar-SA"/>
        </w:rPr>
        <w:t xml:space="preserve"> for this application</w:t>
      </w:r>
      <w:r>
        <w:rPr>
          <w:lang w:bidi="ar-SA"/>
        </w:rPr>
        <w:t xml:space="preserve">, FSANZ consulted with the A1155 applicant on the use of different common substance names to describe the same substance in the Code. </w:t>
      </w:r>
      <w:r w:rsidR="005435F6">
        <w:rPr>
          <w:lang w:bidi="ar-SA"/>
        </w:rPr>
        <w:t xml:space="preserve">The applicant for A1155 had no objections to the proposed change. </w:t>
      </w:r>
      <w:r>
        <w:rPr>
          <w:lang w:bidi="ar-SA"/>
        </w:rPr>
        <w:t>FSANZ consider</w:t>
      </w:r>
      <w:r w:rsidR="005435F6">
        <w:rPr>
          <w:lang w:bidi="ar-SA"/>
        </w:rPr>
        <w:t>ed</w:t>
      </w:r>
      <w:r>
        <w:rPr>
          <w:lang w:bidi="ar-SA"/>
        </w:rPr>
        <w:t xml:space="preserve"> it appropriate to amend Schedule 26 to reference a single common substance name “2</w:t>
      </w:r>
      <w:r w:rsidRPr="00FD4EC3">
        <w:t>′</w:t>
      </w:r>
      <w:r w:rsidR="001B4812">
        <w:rPr>
          <w:lang w:bidi="ar-SA"/>
        </w:rPr>
        <w:t>-fucosyllactose”</w:t>
      </w:r>
      <w:r w:rsidR="005435F6">
        <w:rPr>
          <w:lang w:bidi="ar-SA"/>
        </w:rPr>
        <w:t xml:space="preserve"> to ensure consistency</w:t>
      </w:r>
      <w:r w:rsidR="00A86D5E">
        <w:rPr>
          <w:lang w:bidi="ar-SA"/>
        </w:rPr>
        <w:t xml:space="preserve"> in the Code</w:t>
      </w:r>
      <w:r w:rsidR="005435F6">
        <w:rPr>
          <w:lang w:bidi="ar-SA"/>
        </w:rPr>
        <w:t xml:space="preserve"> and international harmonisation</w:t>
      </w:r>
      <w:r w:rsidR="001B4812">
        <w:rPr>
          <w:lang w:bidi="ar-SA"/>
        </w:rPr>
        <w:t>.</w:t>
      </w:r>
    </w:p>
    <w:p w14:paraId="50CEC9EE" w14:textId="38AA298C" w:rsidR="00A7422F" w:rsidRPr="00DE5CC1" w:rsidRDefault="00246EBF" w:rsidP="00DE5CC1">
      <w:pPr>
        <w:pStyle w:val="Heading2"/>
      </w:pPr>
      <w:bookmarkStart w:id="107" w:name="_Toc77338781"/>
      <w:bookmarkStart w:id="108" w:name="_Toc81995103"/>
      <w:r>
        <w:t>3</w:t>
      </w:r>
      <w:r w:rsidR="00A7422F" w:rsidRPr="00DE5CC1">
        <w:t>.5</w:t>
      </w:r>
      <w:r w:rsidR="00A7422F" w:rsidRPr="00DE5CC1">
        <w:tab/>
        <w:t>Exclusivity</w:t>
      </w:r>
      <w:bookmarkEnd w:id="107"/>
      <w:bookmarkEnd w:id="108"/>
    </w:p>
    <w:p w14:paraId="439DFA4F" w14:textId="0EB470C2" w:rsidR="00A7422F" w:rsidRDefault="00A7422F" w:rsidP="00510B7A">
      <w:pPr>
        <w:widowControl/>
        <w:spacing w:before="120" w:after="120"/>
      </w:pPr>
      <w:r>
        <w:t xml:space="preserve">An applicant may request </w:t>
      </w:r>
      <w:r w:rsidR="00EA4667">
        <w:t xml:space="preserve">an </w:t>
      </w:r>
      <w:r>
        <w:t xml:space="preserve">exclusive </w:t>
      </w:r>
      <w:r w:rsidR="00021623">
        <w:t xml:space="preserve">use </w:t>
      </w:r>
      <w:r>
        <w:t xml:space="preserve">permission </w:t>
      </w:r>
      <w:r w:rsidR="009F6D99">
        <w:t xml:space="preserve">to use and sell a food (including a substance) </w:t>
      </w:r>
      <w:r>
        <w:t xml:space="preserve">for a </w:t>
      </w:r>
      <w:r w:rsidR="009F6D99">
        <w:t xml:space="preserve">certain </w:t>
      </w:r>
      <w:r>
        <w:t xml:space="preserve">period of </w:t>
      </w:r>
      <w:r w:rsidR="009F6D99">
        <w:t xml:space="preserve">time </w:t>
      </w:r>
      <w:r>
        <w:t xml:space="preserve">to recognise the investment made in developing </w:t>
      </w:r>
      <w:r w:rsidR="00A86D5E">
        <w:t xml:space="preserve">a novel </w:t>
      </w:r>
      <w:r>
        <w:t xml:space="preserve">food or ingredient or nutritive substance and the need to achieve return on this investment, thereby supporting innovation. The applicant has requested </w:t>
      </w:r>
      <w:r w:rsidR="00021623">
        <w:t xml:space="preserve">an exclusive use permission </w:t>
      </w:r>
      <w:r>
        <w:t xml:space="preserve">for their specific brand of 2′-FL </w:t>
      </w:r>
      <w:r w:rsidR="009F6D99">
        <w:t xml:space="preserve">for </w:t>
      </w:r>
      <w:r w:rsidR="00021623">
        <w:t xml:space="preserve">a period of </w:t>
      </w:r>
      <w:r w:rsidR="009F6D99">
        <w:t xml:space="preserve">15 months </w:t>
      </w:r>
      <w:r>
        <w:t>on the basis that they have invested significantly in the technology d</w:t>
      </w:r>
      <w:r w:rsidR="001B4812">
        <w:t xml:space="preserve">evelopment and safety studies. </w:t>
      </w:r>
    </w:p>
    <w:p w14:paraId="0A55A137" w14:textId="6A1B3C57" w:rsidR="009F6D99" w:rsidRPr="00C3302C" w:rsidRDefault="009F6D99" w:rsidP="009F6D99">
      <w:pPr>
        <w:widowControl/>
        <w:spacing w:before="120" w:after="120"/>
        <w:rPr>
          <w:lang w:bidi="ar-SA"/>
        </w:rPr>
      </w:pPr>
      <w:r>
        <w:t xml:space="preserve">FSANZ decided to provide the applicant </w:t>
      </w:r>
      <w:r w:rsidR="00F660D0">
        <w:t xml:space="preserve">with </w:t>
      </w:r>
      <w:r w:rsidR="00021623">
        <w:t>a 15 month exclusive use</w:t>
      </w:r>
      <w:r>
        <w:t xml:space="preserve"> </w:t>
      </w:r>
      <w:r w:rsidR="00021623">
        <w:t xml:space="preserve">permission </w:t>
      </w:r>
      <w:r>
        <w:t>for the applicant’s brand of 2′-FL, commencing on the date of gazettal of the approved draft variation.</w:t>
      </w:r>
    </w:p>
    <w:p w14:paraId="01A7C1DF" w14:textId="13855999" w:rsidR="009F6D99" w:rsidRDefault="009F6D99" w:rsidP="00510B7A">
      <w:pPr>
        <w:widowControl/>
        <w:spacing w:before="120" w:after="120"/>
      </w:pPr>
      <w:r>
        <w:t>This means that</w:t>
      </w:r>
      <w:r w:rsidR="00F660D0">
        <w:t>, during th</w:t>
      </w:r>
      <w:r w:rsidR="00783435">
        <w:t>at</w:t>
      </w:r>
      <w:r w:rsidR="00F660D0">
        <w:t xml:space="preserve"> 15 month period,</w:t>
      </w:r>
      <w:r>
        <w:t xml:space="preserve"> the permission for the applicant’s 2′-FL would apply exclusively to that substance under the brand ‘</w:t>
      </w:r>
      <w:r w:rsidRPr="001369A0">
        <w:t>CHR. HANSEN™ 2′-FL</w:t>
      </w:r>
      <w:r>
        <w:t xml:space="preserve">’ in accordance with the Code. Once </w:t>
      </w:r>
      <w:r w:rsidR="00AA3269">
        <w:t>the 15 month</w:t>
      </w:r>
      <w:r>
        <w:t xml:space="preserve"> period ends, the exclusive use permission would revert to a general</w:t>
      </w:r>
      <w:r w:rsidR="00AA3269">
        <w:t xml:space="preserve"> permission, meaning that the</w:t>
      </w:r>
      <w:r>
        <w:t xml:space="preserve"> permission would apply to all brands of 2′-FL</w:t>
      </w:r>
      <w:r w:rsidR="001A20EA" w:rsidRPr="001A20EA">
        <w:rPr>
          <w:lang w:val="en-AU"/>
        </w:rPr>
        <w:t xml:space="preserve"> </w:t>
      </w:r>
      <w:r w:rsidR="001A20EA">
        <w:rPr>
          <w:lang w:val="en-AU"/>
        </w:rPr>
        <w:t>produced by fermentation and</w:t>
      </w:r>
      <w:r>
        <w:t xml:space="preserve"> </w:t>
      </w:r>
      <w:r w:rsidR="001A20EA">
        <w:rPr>
          <w:lang w:val="en-AU"/>
        </w:rPr>
        <w:t>sourced</w:t>
      </w:r>
      <w:r w:rsidR="00AA3269">
        <w:rPr>
          <w:lang w:val="en-AU"/>
        </w:rPr>
        <w:t xml:space="preserve"> from </w:t>
      </w:r>
      <w:r w:rsidR="00AA3269" w:rsidRPr="004777D4">
        <w:rPr>
          <w:i/>
        </w:rPr>
        <w:t>E</w:t>
      </w:r>
      <w:r w:rsidR="00AA3269">
        <w:rPr>
          <w:i/>
        </w:rPr>
        <w:t>.</w:t>
      </w:r>
      <w:r w:rsidR="00AA3269" w:rsidRPr="004777D4">
        <w:rPr>
          <w:i/>
        </w:rPr>
        <w:t xml:space="preserve"> coli</w:t>
      </w:r>
      <w:r w:rsidR="00AA3269" w:rsidRPr="004777D4">
        <w:t xml:space="preserve"> BL21</w:t>
      </w:r>
      <w:r w:rsidR="001A20EA">
        <w:t xml:space="preserve"> </w:t>
      </w:r>
      <w:r w:rsidR="001A20EA" w:rsidRPr="001A20EA">
        <w:t xml:space="preserve">containing the gene for alpha-1,2-fucosyltransferase from </w:t>
      </w:r>
      <w:r w:rsidR="001A20EA" w:rsidRPr="004777D4">
        <w:rPr>
          <w:i/>
        </w:rPr>
        <w:t>E</w:t>
      </w:r>
      <w:r w:rsidR="001A20EA">
        <w:rPr>
          <w:i/>
        </w:rPr>
        <w:t>.</w:t>
      </w:r>
      <w:r w:rsidR="001A20EA" w:rsidRPr="004777D4">
        <w:rPr>
          <w:i/>
        </w:rPr>
        <w:t xml:space="preserve"> coli</w:t>
      </w:r>
      <w:r w:rsidR="001A20EA" w:rsidRPr="004777D4">
        <w:t xml:space="preserve"> </w:t>
      </w:r>
      <w:r w:rsidR="001A20EA" w:rsidRPr="001A20EA">
        <w:t>O126</w:t>
      </w:r>
      <w:r w:rsidR="00AA3269">
        <w:rPr>
          <w:lang w:val="en-AU"/>
        </w:rPr>
        <w:t>,</w:t>
      </w:r>
      <w:r>
        <w:t xml:space="preserve"> in accordance with the Code</w:t>
      </w:r>
    </w:p>
    <w:p w14:paraId="5A3F6C0A" w14:textId="1F665D77" w:rsidR="00A7422F" w:rsidRDefault="00A7422F" w:rsidP="00510B7A">
      <w:pPr>
        <w:widowControl/>
        <w:spacing w:before="120" w:after="120"/>
      </w:pPr>
      <w:r>
        <w:t xml:space="preserve">An </w:t>
      </w:r>
      <w:r w:rsidR="00AA3269">
        <w:t xml:space="preserve">exclusive use </w:t>
      </w:r>
      <w:r>
        <w:t xml:space="preserve">permission in the Code does not, and cannot, prevent approval of second or subsequent applications either within the exclusive use period or during the progression of an application, for the use of the same food or ingredient by other food companies, providing </w:t>
      </w:r>
      <w:r w:rsidR="005F1E79">
        <w:t xml:space="preserve">the </w:t>
      </w:r>
      <w:r w:rsidR="009F6D99">
        <w:t xml:space="preserve">application </w:t>
      </w:r>
      <w:r w:rsidR="001B4812">
        <w:t>process is undertaken.</w:t>
      </w:r>
    </w:p>
    <w:p w14:paraId="12EAB67E" w14:textId="36F39359" w:rsidR="00A7422F" w:rsidRPr="00DE5CC1" w:rsidRDefault="00246EBF" w:rsidP="00DE5CC1">
      <w:pPr>
        <w:pStyle w:val="Heading2"/>
      </w:pPr>
      <w:bookmarkStart w:id="109" w:name="_Toc73104833"/>
      <w:bookmarkStart w:id="110" w:name="_Toc77338782"/>
      <w:bookmarkStart w:id="111" w:name="_Toc81995104"/>
      <w:r>
        <w:t>3</w:t>
      </w:r>
      <w:r w:rsidR="00A7422F" w:rsidRPr="00DE5CC1">
        <w:t>.6</w:t>
      </w:r>
      <w:r w:rsidR="00A7422F" w:rsidRPr="00DE5CC1">
        <w:tab/>
        <w:t>Risk management conclusion</w:t>
      </w:r>
      <w:bookmarkEnd w:id="109"/>
      <w:bookmarkEnd w:id="110"/>
      <w:bookmarkEnd w:id="111"/>
    </w:p>
    <w:p w14:paraId="113D9C78" w14:textId="6EB1AC29" w:rsidR="00A7422F" w:rsidRDefault="00A7422F" w:rsidP="00510B7A">
      <w:pPr>
        <w:widowControl/>
        <w:spacing w:before="120" w:after="120"/>
      </w:pPr>
      <w:r>
        <w:t xml:space="preserve">Having considered </w:t>
      </w:r>
      <w:r w:rsidR="00A86D5E">
        <w:t xml:space="preserve">the submissions and weighed </w:t>
      </w:r>
      <w:r>
        <w:t>all aspects of the assessment against the statutory requirements, including relevant Ministerial Policy Guidelines</w:t>
      </w:r>
      <w:r w:rsidR="00A86D5E">
        <w:t xml:space="preserve"> and</w:t>
      </w:r>
      <w:r w:rsidR="003E21C9">
        <w:t xml:space="preserve"> current permissions for 2′-FL in the Code</w:t>
      </w:r>
      <w:r w:rsidR="00A86D5E">
        <w:t xml:space="preserve">, </w:t>
      </w:r>
      <w:r>
        <w:t xml:space="preserve">FSANZ </w:t>
      </w:r>
      <w:r w:rsidR="003E21C9">
        <w:t>approved</w:t>
      </w:r>
      <w:r>
        <w:t xml:space="preserve"> a draft variation to</w:t>
      </w:r>
      <w:r w:rsidR="00A86D5E">
        <w:t xml:space="preserve"> the Code to</w:t>
      </w:r>
      <w:r>
        <w:t xml:space="preserve"> permit the voluntary addition of</w:t>
      </w:r>
      <w:r w:rsidR="001B4812">
        <w:t xml:space="preserve"> the applicant’s 2′-FL to IFP. </w:t>
      </w:r>
    </w:p>
    <w:p w14:paraId="03A86ABC" w14:textId="4AAAC724" w:rsidR="00A7422F" w:rsidRDefault="00A7422F" w:rsidP="00510B7A">
      <w:pPr>
        <w:widowControl/>
        <w:spacing w:before="120" w:after="120"/>
      </w:pPr>
      <w:r>
        <w:t xml:space="preserve">The addition of the applicant’s 2′-FL to IFP will be subject to the following Code requirements </w:t>
      </w:r>
      <w:r w:rsidR="00A86D5E">
        <w:t xml:space="preserve">and </w:t>
      </w:r>
      <w:r>
        <w:t>condition</w:t>
      </w:r>
      <w:r w:rsidR="00A86D5E">
        <w:t>s:</w:t>
      </w:r>
    </w:p>
    <w:p w14:paraId="6F13582E" w14:textId="77777777" w:rsidR="00A7422F" w:rsidRPr="00E82BB2" w:rsidRDefault="00A7422F" w:rsidP="00510B7A">
      <w:pPr>
        <w:pStyle w:val="FSBullet1"/>
        <w:numPr>
          <w:ilvl w:val="0"/>
          <w:numId w:val="11"/>
        </w:numPr>
        <w:spacing w:before="120" w:after="120"/>
      </w:pPr>
      <w:r>
        <w:t xml:space="preserve">It may be added alone or in combination with LnNT up to a </w:t>
      </w:r>
      <w:r w:rsidRPr="00475703">
        <w:t xml:space="preserve">maximum </w:t>
      </w:r>
      <w:r>
        <w:t>level</w:t>
      </w:r>
      <w:r w:rsidRPr="00475703">
        <w:t xml:space="preserve"> of 2.4 g/L for 2′-FL, as consumed (i.e. in powder or </w:t>
      </w:r>
      <w:r>
        <w:t>liquid</w:t>
      </w:r>
      <w:r w:rsidRPr="00475703">
        <w:t xml:space="preserve"> form)</w:t>
      </w:r>
      <w:r>
        <w:t>.</w:t>
      </w:r>
    </w:p>
    <w:p w14:paraId="542ACB28" w14:textId="0DE97B49" w:rsidR="00A7422F" w:rsidRPr="00DE25A4" w:rsidRDefault="00A7422F" w:rsidP="00510B7A">
      <w:pPr>
        <w:pStyle w:val="FSBullet1"/>
        <w:numPr>
          <w:ilvl w:val="0"/>
          <w:numId w:val="11"/>
        </w:numPr>
        <w:spacing w:before="120" w:after="120"/>
      </w:pPr>
      <w:r>
        <w:lastRenderedPageBreak/>
        <w:t xml:space="preserve">The existing prohibition for the use of 2′-FL with </w:t>
      </w:r>
      <w:r w:rsidR="001B4812">
        <w:rPr>
          <w:rFonts w:eastAsia="Calibri"/>
        </w:rPr>
        <w:t>GOS</w:t>
      </w:r>
      <w:r w:rsidRPr="00DE25A4">
        <w:rPr>
          <w:rFonts w:eastAsia="Calibri"/>
        </w:rPr>
        <w:t xml:space="preserve"> and </w:t>
      </w:r>
      <w:r w:rsidR="001B4812">
        <w:rPr>
          <w:rFonts w:eastAsia="Calibri"/>
        </w:rPr>
        <w:t>ITF</w:t>
      </w:r>
      <w:r w:rsidRPr="00DE25A4">
        <w:rPr>
          <w:rFonts w:eastAsia="Calibri"/>
        </w:rPr>
        <w:t xml:space="preserve"> w</w:t>
      </w:r>
      <w:r w:rsidR="0073504E">
        <w:rPr>
          <w:rFonts w:eastAsia="Calibri"/>
        </w:rPr>
        <w:t>ill</w:t>
      </w:r>
      <w:r w:rsidRPr="00DE25A4">
        <w:rPr>
          <w:rFonts w:eastAsia="Calibri"/>
        </w:rPr>
        <w:t xml:space="preserve"> apply to IFP that contain the applicants </w:t>
      </w:r>
      <w:r>
        <w:t>2′-FL</w:t>
      </w:r>
      <w:r w:rsidRPr="00DE25A4">
        <w:rPr>
          <w:rFonts w:eastAsia="Calibri"/>
        </w:rPr>
        <w:t>.</w:t>
      </w:r>
    </w:p>
    <w:p w14:paraId="08C08D7C" w14:textId="7D188A44" w:rsidR="00A7422F" w:rsidRDefault="00A7422F" w:rsidP="00510B7A">
      <w:pPr>
        <w:pStyle w:val="FSBullet1"/>
        <w:numPr>
          <w:ilvl w:val="0"/>
          <w:numId w:val="11"/>
        </w:numPr>
        <w:spacing w:before="120" w:after="120"/>
      </w:pPr>
      <w:r>
        <w:t>The existing prohibition for the use of the words ‘human milk identical oligosaccharide’ or ‘human milk oligosaccharide’,</w:t>
      </w:r>
      <w:r w:rsidRPr="00E00735">
        <w:t xml:space="preserve"> </w:t>
      </w:r>
      <w:r>
        <w:t>and abbreviations ‘HMO’, ‘HiMO’, or any word or words or abbreviations having the same or similar effect, w</w:t>
      </w:r>
      <w:r w:rsidR="0073504E">
        <w:t>ill</w:t>
      </w:r>
      <w:r>
        <w:t xml:space="preserve"> apply to IFP that contain the applicant’s </w:t>
      </w:r>
      <w:r w:rsidRPr="00E00735">
        <w:t>2′-FL</w:t>
      </w:r>
      <w:r>
        <w:t xml:space="preserve">. </w:t>
      </w:r>
    </w:p>
    <w:p w14:paraId="5E007A41" w14:textId="2E6F6413" w:rsidR="00A7422F" w:rsidRPr="00FC1084" w:rsidRDefault="00A7422F" w:rsidP="00510B7A">
      <w:pPr>
        <w:pStyle w:val="FSBullet1"/>
        <w:numPr>
          <w:ilvl w:val="0"/>
          <w:numId w:val="11"/>
        </w:numPr>
        <w:spacing w:before="120" w:after="120"/>
      </w:pPr>
      <w:r>
        <w:t>An e</w:t>
      </w:r>
      <w:r w:rsidRPr="0091535D">
        <w:t>xclusive permission</w:t>
      </w:r>
      <w:r>
        <w:t xml:space="preserve"> to use </w:t>
      </w:r>
      <w:r>
        <w:rPr>
          <w:rFonts w:eastAsia="Calibri"/>
        </w:rPr>
        <w:t xml:space="preserve">the applicant’s </w:t>
      </w:r>
      <w:r>
        <w:t>2′-FL</w:t>
      </w:r>
      <w:r w:rsidR="006376A6">
        <w:t xml:space="preserve"> </w:t>
      </w:r>
      <w:r>
        <w:t>w</w:t>
      </w:r>
      <w:r w:rsidR="0073504E">
        <w:t>ill</w:t>
      </w:r>
      <w:r>
        <w:t xml:space="preserve"> apply </w:t>
      </w:r>
      <w:r w:rsidRPr="0091535D">
        <w:t>for a period of 15 months</w:t>
      </w:r>
      <w:r>
        <w:t>, linked to the applicant’s brand name ‘CHR. HANSEN™ 2′</w:t>
      </w:r>
      <w:r w:rsidRPr="0091535D">
        <w:t>-FL</w:t>
      </w:r>
      <w:r>
        <w:t xml:space="preserve">’, </w:t>
      </w:r>
      <w:r w:rsidRPr="0091535D">
        <w:t xml:space="preserve">commencing </w:t>
      </w:r>
      <w:r w:rsidRPr="00FC1084">
        <w:t xml:space="preserve">on the date of gazettal of the </w:t>
      </w:r>
      <w:r w:rsidR="00AA3269" w:rsidRPr="00FC1084">
        <w:t xml:space="preserve">approved draft </w:t>
      </w:r>
      <w:r w:rsidRPr="00FC1084">
        <w:t>variation.</w:t>
      </w:r>
    </w:p>
    <w:p w14:paraId="7C260DB0" w14:textId="3E343A75" w:rsidR="00A7422F" w:rsidRPr="00FC1084" w:rsidRDefault="00A7422F" w:rsidP="00510B7A">
      <w:pPr>
        <w:pStyle w:val="ListParagraph"/>
        <w:widowControl/>
        <w:numPr>
          <w:ilvl w:val="0"/>
          <w:numId w:val="11"/>
        </w:numPr>
        <w:spacing w:before="120" w:after="120"/>
        <w:contextualSpacing w:val="0"/>
        <w:rPr>
          <w:lang w:bidi="ar-SA"/>
        </w:rPr>
      </w:pPr>
      <w:r w:rsidRPr="00FC1084">
        <w:t>Schedule 3 of the Code will set a specific specification for the applicant’s 2′-FL, with which it must comply.</w:t>
      </w:r>
    </w:p>
    <w:p w14:paraId="74B08CC9" w14:textId="43EA8612" w:rsidR="001C7F96" w:rsidRPr="00FC1084" w:rsidRDefault="00CE494F" w:rsidP="001C7F96">
      <w:pPr>
        <w:pStyle w:val="ListParagraph"/>
        <w:widowControl/>
        <w:numPr>
          <w:ilvl w:val="0"/>
          <w:numId w:val="11"/>
        </w:numPr>
        <w:spacing w:before="120" w:after="120"/>
        <w:contextualSpacing w:val="0"/>
        <w:rPr>
          <w:lang w:bidi="ar-SA"/>
        </w:rPr>
      </w:pPr>
      <w:r w:rsidRPr="00FC1084">
        <w:rPr>
          <w:lang w:bidi="ar-SA"/>
        </w:rPr>
        <w:t>The permission is subject to the outcome of the five year review</w:t>
      </w:r>
      <w:r w:rsidR="001C7F96" w:rsidRPr="00FC1084">
        <w:rPr>
          <w:rStyle w:val="FootnoteReference"/>
          <w:lang w:bidi="ar-SA"/>
        </w:rPr>
        <w:footnoteReference w:id="23"/>
      </w:r>
      <w:r w:rsidRPr="00FC1084">
        <w:rPr>
          <w:lang w:bidi="ar-SA"/>
        </w:rPr>
        <w:t xml:space="preserve"> (</w:t>
      </w:r>
      <w:r w:rsidR="001C7F96" w:rsidRPr="00FC1084">
        <w:rPr>
          <w:lang w:bidi="ar-SA"/>
        </w:rPr>
        <w:t>to be completed by March</w:t>
      </w:r>
      <w:r w:rsidRPr="00FC1084">
        <w:rPr>
          <w:lang w:bidi="ar-SA"/>
        </w:rPr>
        <w:t xml:space="preserve"> 2026) which will </w:t>
      </w:r>
      <w:r w:rsidR="001C7F96" w:rsidRPr="00FC1084">
        <w:rPr>
          <w:lang w:bidi="ar-SA"/>
        </w:rPr>
        <w:t>re</w:t>
      </w:r>
      <w:r w:rsidRPr="00FC1084">
        <w:rPr>
          <w:lang w:bidi="ar-SA"/>
        </w:rPr>
        <w:t xml:space="preserve">assess evidence of a substantiated beneficial </w:t>
      </w:r>
      <w:r w:rsidR="001C7F96" w:rsidRPr="00FC1084">
        <w:rPr>
          <w:lang w:bidi="ar-SA"/>
        </w:rPr>
        <w:t>role</w:t>
      </w:r>
      <w:r w:rsidRPr="00FC1084">
        <w:rPr>
          <w:lang w:bidi="ar-SA"/>
        </w:rPr>
        <w:t xml:space="preserve"> of </w:t>
      </w:r>
      <w:r w:rsidRPr="00FC1084">
        <w:t>2′-FL</w:t>
      </w:r>
      <w:r w:rsidRPr="00FC1084">
        <w:rPr>
          <w:lang w:bidi="ar-SA"/>
        </w:rPr>
        <w:t xml:space="preserve"> in</w:t>
      </w:r>
      <w:r w:rsidR="001C7F96" w:rsidRPr="00FC1084">
        <w:rPr>
          <w:lang w:bidi="ar-SA"/>
        </w:rPr>
        <w:t xml:space="preserve"> </w:t>
      </w:r>
      <w:r w:rsidR="001C7F96" w:rsidRPr="00FC1084">
        <w:rPr>
          <w:rFonts w:cs="Arial"/>
          <w:color w:val="222222"/>
          <w:szCs w:val="22"/>
          <w:shd w:val="clear" w:color="auto" w:fill="FFFFFF"/>
        </w:rPr>
        <w:t>the normal growth and development of</w:t>
      </w:r>
      <w:r w:rsidRPr="00FC1084">
        <w:rPr>
          <w:lang w:bidi="ar-SA"/>
        </w:rPr>
        <w:t xml:space="preserve"> infants.</w:t>
      </w:r>
    </w:p>
    <w:p w14:paraId="63FF5B95" w14:textId="02803F51" w:rsidR="00A7422F" w:rsidRPr="001B4812" w:rsidRDefault="00A7422F" w:rsidP="00510B7A">
      <w:pPr>
        <w:widowControl/>
        <w:spacing w:before="120" w:after="120"/>
        <w:rPr>
          <w:lang w:val="en-AU"/>
        </w:rPr>
      </w:pPr>
      <w:r w:rsidRPr="00FC1084">
        <w:t xml:space="preserve">The </w:t>
      </w:r>
      <w:r w:rsidR="006C1002" w:rsidRPr="00FC1084">
        <w:t>approved</w:t>
      </w:r>
      <w:r w:rsidR="006C1002">
        <w:t xml:space="preserve"> </w:t>
      </w:r>
      <w:r>
        <w:t xml:space="preserve">draft variation is at Attachment A. The explanatory statement for the variation is </w:t>
      </w:r>
      <w:r w:rsidR="006C1002">
        <w:t>at</w:t>
      </w:r>
      <w:r>
        <w:t xml:space="preserve"> Attachment B.</w:t>
      </w:r>
      <w:r w:rsidDel="000962FB">
        <w:t xml:space="preserve"> </w:t>
      </w:r>
      <w:r w:rsidR="00C67B14" w:rsidRPr="00C67B14">
        <w:t>The draft variation on which submissions were sought is at Attachment C.</w:t>
      </w:r>
    </w:p>
    <w:p w14:paraId="46D91652" w14:textId="6936D81E" w:rsidR="00A7422F" w:rsidRPr="00DE5CC1" w:rsidRDefault="00246EBF" w:rsidP="00DE5CC1">
      <w:pPr>
        <w:pStyle w:val="Heading1"/>
      </w:pPr>
      <w:bookmarkStart w:id="112" w:name="_Toc300933435"/>
      <w:bookmarkStart w:id="113" w:name="_Toc73104834"/>
      <w:bookmarkStart w:id="114" w:name="_Toc77338783"/>
      <w:bookmarkStart w:id="115" w:name="_Toc81995105"/>
      <w:bookmarkEnd w:id="80"/>
      <w:bookmarkEnd w:id="81"/>
      <w:r>
        <w:t>4</w:t>
      </w:r>
      <w:r w:rsidR="00A7422F" w:rsidRPr="00DE5CC1">
        <w:tab/>
        <w:t>Risk communication</w:t>
      </w:r>
      <w:bookmarkEnd w:id="112"/>
      <w:bookmarkEnd w:id="113"/>
      <w:bookmarkEnd w:id="114"/>
      <w:bookmarkEnd w:id="115"/>
      <w:r w:rsidR="00A7422F" w:rsidRPr="00DE5CC1">
        <w:t xml:space="preserve"> </w:t>
      </w:r>
    </w:p>
    <w:p w14:paraId="113A1977" w14:textId="79313A40" w:rsidR="00A7422F" w:rsidRPr="00DE5CC1" w:rsidRDefault="00246EBF" w:rsidP="00DE5CC1">
      <w:pPr>
        <w:pStyle w:val="Heading2"/>
      </w:pPr>
      <w:bookmarkStart w:id="116" w:name="_Toc300933437"/>
      <w:bookmarkStart w:id="117" w:name="_Toc73104835"/>
      <w:bookmarkStart w:id="118" w:name="_Toc77338784"/>
      <w:bookmarkStart w:id="119" w:name="_Toc81995106"/>
      <w:r>
        <w:t>4</w:t>
      </w:r>
      <w:r w:rsidR="00A7422F" w:rsidRPr="00DE5CC1">
        <w:t>.1</w:t>
      </w:r>
      <w:r w:rsidR="00A7422F" w:rsidRPr="00DE5CC1">
        <w:tab/>
        <w:t>Consultation</w:t>
      </w:r>
      <w:bookmarkEnd w:id="116"/>
      <w:bookmarkEnd w:id="117"/>
      <w:bookmarkEnd w:id="118"/>
      <w:bookmarkEnd w:id="119"/>
    </w:p>
    <w:p w14:paraId="2AA2F6E4" w14:textId="59CB4871" w:rsidR="00C41213" w:rsidRDefault="00A7422F" w:rsidP="00510B7A">
      <w:pPr>
        <w:widowControl/>
        <w:spacing w:before="120" w:after="120"/>
        <w:rPr>
          <w:color w:val="000000" w:themeColor="text1"/>
          <w:szCs w:val="22"/>
        </w:rPr>
      </w:pPr>
      <w:r w:rsidRPr="0027513D">
        <w:rPr>
          <w:szCs w:val="22"/>
        </w:rPr>
        <w:t>Consultation is a key part of FSANZ’s</w:t>
      </w:r>
      <w:r>
        <w:rPr>
          <w:szCs w:val="22"/>
        </w:rPr>
        <w:t xml:space="preserve"> standards development process. </w:t>
      </w:r>
      <w:r w:rsidRPr="005C323B">
        <w:rPr>
          <w:szCs w:val="22"/>
        </w:rPr>
        <w:t xml:space="preserve">FSANZ developed </w:t>
      </w:r>
      <w:r w:rsidR="00C41213">
        <w:rPr>
          <w:szCs w:val="22"/>
        </w:rPr>
        <w:t xml:space="preserve">and applied </w:t>
      </w:r>
      <w:r w:rsidRPr="005C323B">
        <w:rPr>
          <w:szCs w:val="22"/>
        </w:rPr>
        <w:t>a</w:t>
      </w:r>
      <w:r w:rsidR="00C41213">
        <w:rPr>
          <w:szCs w:val="22"/>
        </w:rPr>
        <w:t xml:space="preserve"> standard</w:t>
      </w:r>
      <w:r w:rsidRPr="005C323B">
        <w:rPr>
          <w:szCs w:val="22"/>
        </w:rPr>
        <w:t xml:space="preserve"> communication strategy </w:t>
      </w:r>
      <w:r w:rsidR="00C41213">
        <w:rPr>
          <w:szCs w:val="22"/>
        </w:rPr>
        <w:t>to this</w:t>
      </w:r>
      <w:r w:rsidRPr="005C323B">
        <w:rPr>
          <w:szCs w:val="22"/>
        </w:rPr>
        <w:t xml:space="preserve"> application. Subscribers and interested parties were notified </w:t>
      </w:r>
      <w:r w:rsidRPr="005C323B">
        <w:rPr>
          <w:color w:val="000000" w:themeColor="text1"/>
          <w:szCs w:val="22"/>
        </w:rPr>
        <w:t xml:space="preserve">about </w:t>
      </w:r>
      <w:r w:rsidR="00C41213">
        <w:rPr>
          <w:color w:val="000000" w:themeColor="text1"/>
          <w:szCs w:val="22"/>
        </w:rPr>
        <w:t xml:space="preserve">the </w:t>
      </w:r>
      <w:r w:rsidRPr="005C323B">
        <w:rPr>
          <w:color w:val="000000" w:themeColor="text1"/>
          <w:szCs w:val="22"/>
        </w:rPr>
        <w:t xml:space="preserve">public consultation period via the FSANZ </w:t>
      </w:r>
      <w:r w:rsidR="00C41213">
        <w:rPr>
          <w:color w:val="000000" w:themeColor="text1"/>
          <w:szCs w:val="22"/>
        </w:rPr>
        <w:t xml:space="preserve">Standards </w:t>
      </w:r>
      <w:r w:rsidRPr="005C323B">
        <w:rPr>
          <w:color w:val="000000" w:themeColor="text1"/>
          <w:szCs w:val="22"/>
        </w:rPr>
        <w:t>Notification Circular</w:t>
      </w:r>
      <w:r w:rsidR="00C41213">
        <w:rPr>
          <w:color w:val="000000" w:themeColor="text1"/>
          <w:szCs w:val="22"/>
        </w:rPr>
        <w:t xml:space="preserve">. </w:t>
      </w:r>
      <w:r w:rsidR="00C41213" w:rsidRPr="00C626C5">
        <w:rPr>
          <w:rFonts w:cs="Arial"/>
          <w:color w:val="000000"/>
        </w:rPr>
        <w:t>A media release, FSANZ’s social media tools and Food Standards News were also used to raise awareness in the community regarding the opportunity for comment.</w:t>
      </w:r>
    </w:p>
    <w:p w14:paraId="290BC8B1" w14:textId="34ADB0F9" w:rsidR="00A7422F" w:rsidRPr="005C323B" w:rsidRDefault="00C41213" w:rsidP="00510B7A">
      <w:pPr>
        <w:widowControl/>
        <w:spacing w:before="120" w:after="120"/>
        <w:rPr>
          <w:color w:val="000000" w:themeColor="text1"/>
          <w:szCs w:val="22"/>
        </w:rPr>
      </w:pPr>
      <w:r w:rsidRPr="00A10E1D">
        <w:rPr>
          <w:color w:val="000000" w:themeColor="text1"/>
          <w:szCs w:val="22"/>
        </w:rPr>
        <w:t>A public consultation paper called for submissions from 22 July 2021 to 19 August 2021. Ten submissions were received. FSANZ had regard to all submissions received for this application</w:t>
      </w:r>
      <w:r w:rsidR="00462771">
        <w:rPr>
          <w:color w:val="000000" w:themeColor="text1"/>
          <w:szCs w:val="22"/>
        </w:rPr>
        <w:t xml:space="preserve"> as part of its assessment</w:t>
      </w:r>
      <w:r w:rsidRPr="00A10E1D">
        <w:rPr>
          <w:color w:val="000000" w:themeColor="text1"/>
          <w:szCs w:val="22"/>
        </w:rPr>
        <w:t>.</w:t>
      </w:r>
    </w:p>
    <w:p w14:paraId="55548F1E" w14:textId="01C530D7" w:rsidR="00C41213" w:rsidRPr="001B4812" w:rsidRDefault="002C1A3B" w:rsidP="00510B7A">
      <w:pPr>
        <w:spacing w:before="120" w:after="120"/>
        <w:rPr>
          <w:szCs w:val="22"/>
        </w:rPr>
      </w:pPr>
      <w:r w:rsidRPr="00A7422F">
        <w:rPr>
          <w:szCs w:val="22"/>
        </w:rPr>
        <w:t xml:space="preserve">FSANZ acknowledges the time taken by individuals and organisations to make submissions on this </w:t>
      </w:r>
      <w:r w:rsidR="00C41213">
        <w:rPr>
          <w:szCs w:val="22"/>
        </w:rPr>
        <w:t>a</w:t>
      </w:r>
      <w:r w:rsidRPr="00A7422F">
        <w:rPr>
          <w:szCs w:val="22"/>
        </w:rPr>
        <w:t xml:space="preserve">pplication. </w:t>
      </w:r>
      <w:r w:rsidRPr="002C1A3B">
        <w:rPr>
          <w:szCs w:val="22"/>
        </w:rPr>
        <w:t xml:space="preserve">Every submission </w:t>
      </w:r>
      <w:r w:rsidR="00FF1B03">
        <w:rPr>
          <w:szCs w:val="22"/>
        </w:rPr>
        <w:t>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Pr="002C1A3B">
        <w:rPr>
          <w:szCs w:val="22"/>
        </w:rPr>
        <w:t xml:space="preserve">. </w:t>
      </w:r>
      <w:r w:rsidR="00862349">
        <w:rPr>
          <w:szCs w:val="22"/>
        </w:rPr>
        <w:t>A</w:t>
      </w:r>
      <w:r w:rsidRPr="002C1A3B">
        <w:rPr>
          <w:szCs w:val="22"/>
        </w:rPr>
        <w:t xml:space="preserve">ll comments are valued and contribute to the rigour of our assessment. </w:t>
      </w:r>
    </w:p>
    <w:p w14:paraId="5209B43D" w14:textId="58E2274F" w:rsidR="00A7422F" w:rsidRPr="00DE5CC1" w:rsidRDefault="00246EBF" w:rsidP="00DE5CC1">
      <w:pPr>
        <w:pStyle w:val="Heading1"/>
      </w:pPr>
      <w:bookmarkStart w:id="120" w:name="_Toc370223477"/>
      <w:bookmarkStart w:id="121" w:name="_Toc370225392"/>
      <w:bookmarkStart w:id="122" w:name="_Toc309291816"/>
      <w:bookmarkStart w:id="123" w:name="_Toc300933448"/>
      <w:bookmarkStart w:id="124" w:name="_Toc300933577"/>
      <w:bookmarkStart w:id="125" w:name="_Toc301535601"/>
      <w:bookmarkStart w:id="126" w:name="_Toc309385464"/>
      <w:bookmarkStart w:id="127" w:name="_Toc73104837"/>
      <w:bookmarkStart w:id="128" w:name="_Toc77338786"/>
      <w:bookmarkStart w:id="129" w:name="_Toc81995108"/>
      <w:bookmarkStart w:id="130" w:name="_Toc175381456"/>
      <w:bookmarkEnd w:id="57"/>
      <w:bookmarkEnd w:id="58"/>
      <w:bookmarkEnd w:id="59"/>
      <w:bookmarkEnd w:id="60"/>
      <w:bookmarkEnd w:id="61"/>
      <w:bookmarkEnd w:id="62"/>
      <w:bookmarkEnd w:id="82"/>
      <w:bookmarkEnd w:id="120"/>
      <w:bookmarkEnd w:id="121"/>
      <w:bookmarkEnd w:id="122"/>
      <w:bookmarkEnd w:id="123"/>
      <w:bookmarkEnd w:id="124"/>
      <w:bookmarkEnd w:id="125"/>
      <w:bookmarkEnd w:id="126"/>
      <w:r>
        <w:t>5</w:t>
      </w:r>
      <w:r w:rsidR="00A7422F" w:rsidRPr="00DE5CC1">
        <w:tab/>
        <w:t>FSANZ Act assessment requirements</w:t>
      </w:r>
      <w:bookmarkEnd w:id="127"/>
      <w:bookmarkEnd w:id="128"/>
      <w:bookmarkEnd w:id="129"/>
    </w:p>
    <w:p w14:paraId="5954679E" w14:textId="585E9DD2" w:rsidR="00A7422F" w:rsidRPr="00DE5CC1" w:rsidRDefault="00246EBF" w:rsidP="00DE5CC1">
      <w:pPr>
        <w:pStyle w:val="Heading2"/>
      </w:pPr>
      <w:bookmarkStart w:id="131" w:name="_Toc73104838"/>
      <w:bookmarkStart w:id="132" w:name="_Toc77338787"/>
      <w:bookmarkStart w:id="133" w:name="_Toc81995109"/>
      <w:r>
        <w:t>5</w:t>
      </w:r>
      <w:r w:rsidR="00A7422F" w:rsidRPr="00DE5CC1">
        <w:t>.1</w:t>
      </w:r>
      <w:r w:rsidR="00A7422F" w:rsidRPr="00DE5CC1">
        <w:tab/>
        <w:t>Section 29</w:t>
      </w:r>
      <w:bookmarkEnd w:id="131"/>
      <w:bookmarkEnd w:id="132"/>
      <w:bookmarkEnd w:id="133"/>
    </w:p>
    <w:p w14:paraId="161801FA" w14:textId="17188776" w:rsidR="00A7422F" w:rsidRPr="00981E04" w:rsidRDefault="00A7422F" w:rsidP="00510B7A">
      <w:pPr>
        <w:widowControl/>
        <w:spacing w:before="120" w:after="120"/>
      </w:pPr>
      <w:bookmarkStart w:id="134" w:name="_Toc73104839"/>
      <w:r w:rsidRPr="00981E04">
        <w:t>When assessing this application and the subsequent development of</w:t>
      </w:r>
      <w:r w:rsidR="00C41213">
        <w:t xml:space="preserve"> a</w:t>
      </w:r>
      <w:r w:rsidRPr="00981E04">
        <w:t xml:space="preserve"> food regulatory measure, FSANZ had regard to the </w:t>
      </w:r>
      <w:r w:rsidRPr="00981E04" w:rsidDel="00932F14">
        <w:t xml:space="preserve">following </w:t>
      </w:r>
      <w:r w:rsidRPr="00981E04">
        <w:t xml:space="preserve">matters in </w:t>
      </w:r>
      <w:r w:rsidR="00B05F7E">
        <w:t>Section</w:t>
      </w:r>
      <w:r w:rsidRPr="00981E04">
        <w:t xml:space="preserve"> 29 of the FSANZ Act:</w:t>
      </w:r>
    </w:p>
    <w:p w14:paraId="321084AD" w14:textId="2519774B" w:rsidR="00A7422F" w:rsidRPr="00DE5CC1" w:rsidRDefault="00246EBF" w:rsidP="00DE5CC1">
      <w:pPr>
        <w:pStyle w:val="Heading3"/>
      </w:pPr>
      <w:bookmarkStart w:id="135" w:name="_Toc77338788"/>
      <w:bookmarkStart w:id="136" w:name="_Toc81995110"/>
      <w:r>
        <w:t>5</w:t>
      </w:r>
      <w:r w:rsidR="00A7422F" w:rsidRPr="00DE5CC1">
        <w:t>.1.1</w:t>
      </w:r>
      <w:r w:rsidR="00A7422F" w:rsidRPr="00DE5CC1">
        <w:tab/>
        <w:t>Consideration of costs and benefits</w:t>
      </w:r>
      <w:bookmarkEnd w:id="134"/>
      <w:bookmarkEnd w:id="135"/>
      <w:bookmarkEnd w:id="136"/>
    </w:p>
    <w:p w14:paraId="0403B957" w14:textId="35520768" w:rsidR="00A7422F" w:rsidRPr="001B4812" w:rsidRDefault="00A7422F" w:rsidP="002E0C5D">
      <w:pPr>
        <w:spacing w:before="120" w:after="120"/>
      </w:pPr>
      <w:r>
        <w:t>The Office of Best Practice Regulation (OBPR) granted FSANZ a standing exemption from</w:t>
      </w:r>
      <w:r w:rsidR="002E0C5D">
        <w:t xml:space="preserve"> </w:t>
      </w:r>
      <w:r>
        <w:t>the requirement to develop a Regulatory Impact Statement (</w:t>
      </w:r>
      <w:r w:rsidR="002E0C5D">
        <w:t xml:space="preserve">RIS) for permitting genetically </w:t>
      </w:r>
      <w:r>
        <w:t>modified foods (OBPR correspondence dated 24 November 2010, reference 12065) and for</w:t>
      </w:r>
      <w:r w:rsidR="002E0C5D">
        <w:t xml:space="preserve"> </w:t>
      </w:r>
      <w:r>
        <w:t>the voluntary addition of nutritive substances to foods (OBPR correspondence dated 16 April</w:t>
      </w:r>
      <w:r w:rsidR="002E0C5D">
        <w:t xml:space="preserve"> </w:t>
      </w:r>
      <w:r>
        <w:lastRenderedPageBreak/>
        <w:t>2013, reference 14943).</w:t>
      </w:r>
    </w:p>
    <w:p w14:paraId="3396FA30" w14:textId="79DB5F3E" w:rsidR="00A7422F" w:rsidRPr="00023745" w:rsidRDefault="00A7422F" w:rsidP="00510B7A">
      <w:pPr>
        <w:widowControl/>
        <w:spacing w:before="120" w:after="120"/>
        <w:rPr>
          <w:rFonts w:cs="Arial"/>
        </w:rPr>
      </w:pPr>
      <w:r w:rsidRPr="00023745">
        <w:rPr>
          <w:rFonts w:cs="Arial"/>
        </w:rPr>
        <w:t xml:space="preserve">FSANZ, however, </w:t>
      </w:r>
      <w:r w:rsidR="00A10E1D">
        <w:rPr>
          <w:rFonts w:cs="Arial"/>
        </w:rPr>
        <w:t>gave</w:t>
      </w:r>
      <w:r w:rsidRPr="00023745">
        <w:rPr>
          <w:rFonts w:cs="Arial"/>
        </w:rPr>
        <w:t xml:space="preserve"> consideration to the costs and benefits that </w:t>
      </w:r>
      <w:r w:rsidR="00A10E1D">
        <w:rPr>
          <w:rFonts w:cs="Arial"/>
        </w:rPr>
        <w:t>may</w:t>
      </w:r>
      <w:r w:rsidRPr="00023745">
        <w:rPr>
          <w:rFonts w:cs="Arial"/>
        </w:rPr>
        <w:t xml:space="preserve"> arise from the proposed measure for the purposes of meeting FSANZ Act considerations. </w:t>
      </w:r>
      <w:r w:rsidRPr="0043509B">
        <w:rPr>
          <w:rFonts w:cs="Arial"/>
        </w:rPr>
        <w:t xml:space="preserve">The FSANZ Act requires FSANZ to have regard to whether costs that would arise from the proposed measure outweigh the direct and indirect benefits to the community, government or industry that would arise from the proposed measure </w:t>
      </w:r>
      <w:r w:rsidRPr="00023745">
        <w:rPr>
          <w:rFonts w:cs="Arial"/>
        </w:rPr>
        <w:t xml:space="preserve">(paragraph 29(2)(a)). </w:t>
      </w:r>
    </w:p>
    <w:p w14:paraId="4208E059" w14:textId="792FFA49" w:rsidR="00A7422F" w:rsidRDefault="00A7422F" w:rsidP="00510B7A">
      <w:pPr>
        <w:widowControl/>
        <w:spacing w:before="120" w:after="120"/>
        <w:rPr>
          <w:rFonts w:cs="Arial"/>
        </w:rPr>
      </w:pPr>
      <w:r w:rsidRPr="00023745" w:rsidDel="007A476B">
        <w:t xml:space="preserve">The purpose of this consideration </w:t>
      </w:r>
      <w:r w:rsidR="00A10E1D">
        <w:t>was</w:t>
      </w:r>
      <w:r w:rsidRPr="00023745" w:rsidDel="007A476B">
        <w:t xml:space="preserve"> to determine if the community, government, and industry as a whole </w:t>
      </w:r>
      <w:r w:rsidR="00A10E1D">
        <w:t>are</w:t>
      </w:r>
      <w:r w:rsidRPr="00023745" w:rsidDel="007A476B">
        <w:t xml:space="preserve"> likely to benefit, on balance, from a move from the status quo (where status quo is </w:t>
      </w:r>
      <w:r>
        <w:t>Option 1:</w:t>
      </w:r>
      <w:r w:rsidRPr="00023745">
        <w:t xml:space="preserve"> </w:t>
      </w:r>
      <w:r w:rsidRPr="00023745" w:rsidDel="007A476B">
        <w:t xml:space="preserve">rejecting </w:t>
      </w:r>
      <w:r w:rsidR="005F1E79">
        <w:t>the Application</w:t>
      </w:r>
      <w:r w:rsidRPr="00023745" w:rsidDel="007A476B">
        <w:t>)</w:t>
      </w:r>
      <w:r w:rsidR="00A10E1D">
        <w:t>. This analysis considered</w:t>
      </w:r>
      <w:r>
        <w:t xml:space="preserve"> costs and benefits to the community, government, and industry</w:t>
      </w:r>
      <w:r w:rsidRPr="00023745">
        <w:rPr>
          <w:rFonts w:cs="Arial"/>
        </w:rPr>
        <w:t xml:space="preserve"> of two </w:t>
      </w:r>
      <w:r>
        <w:rPr>
          <w:rFonts w:cs="Arial"/>
        </w:rPr>
        <w:t>other</w:t>
      </w:r>
      <w:r w:rsidRPr="00023745">
        <w:rPr>
          <w:rFonts w:cs="Arial"/>
        </w:rPr>
        <w:t xml:space="preserve"> options: </w:t>
      </w:r>
    </w:p>
    <w:p w14:paraId="69939929" w14:textId="2B0E2326" w:rsidR="00A7422F" w:rsidRPr="00596FD1" w:rsidRDefault="00A7422F" w:rsidP="00510B7A">
      <w:pPr>
        <w:pStyle w:val="AARBullet"/>
        <w:numPr>
          <w:ilvl w:val="0"/>
          <w:numId w:val="13"/>
        </w:numPr>
        <w:spacing w:before="120" w:after="120"/>
        <w:rPr>
          <w:sz w:val="22"/>
        </w:rPr>
      </w:pPr>
      <w:r w:rsidRPr="00596FD1">
        <w:rPr>
          <w:sz w:val="22"/>
        </w:rPr>
        <w:t xml:space="preserve">Option 2 </w:t>
      </w:r>
      <w:r w:rsidR="00A10E1D">
        <w:rPr>
          <w:sz w:val="22"/>
        </w:rPr>
        <w:t xml:space="preserve">is </w:t>
      </w:r>
      <w:r w:rsidRPr="00596FD1">
        <w:rPr>
          <w:sz w:val="22"/>
        </w:rPr>
        <w:t>permitting the use of the applicant’s 2′-FL in IFP only, and</w:t>
      </w:r>
    </w:p>
    <w:p w14:paraId="5E67AA23" w14:textId="779C1E6E" w:rsidR="00A7422F" w:rsidRPr="00596FD1" w:rsidRDefault="00A7422F" w:rsidP="00510B7A">
      <w:pPr>
        <w:pStyle w:val="AARBullet"/>
        <w:numPr>
          <w:ilvl w:val="0"/>
          <w:numId w:val="13"/>
        </w:numPr>
        <w:spacing w:before="120" w:after="120"/>
        <w:rPr>
          <w:sz w:val="22"/>
        </w:rPr>
      </w:pPr>
      <w:r w:rsidRPr="00596FD1">
        <w:rPr>
          <w:sz w:val="22"/>
        </w:rPr>
        <w:t xml:space="preserve">Option 3 </w:t>
      </w:r>
      <w:r w:rsidR="00A10E1D">
        <w:rPr>
          <w:sz w:val="22"/>
        </w:rPr>
        <w:t xml:space="preserve">is </w:t>
      </w:r>
      <w:r w:rsidRPr="00596FD1">
        <w:rPr>
          <w:sz w:val="22"/>
        </w:rPr>
        <w:t xml:space="preserve">permitting the use of the applicant’s 2′-FL in both IFP and FSFYC. </w:t>
      </w:r>
    </w:p>
    <w:p w14:paraId="1EBB04CB" w14:textId="054344E5" w:rsidR="00A7422F" w:rsidRDefault="00A7422F" w:rsidP="00510B7A">
      <w:pPr>
        <w:widowControl/>
        <w:spacing w:before="120" w:after="120"/>
      </w:pPr>
      <w:r>
        <w:t>FSANZ is of the view that no other realistic</w:t>
      </w:r>
      <w:r w:rsidR="00A10E1D">
        <w:t xml:space="preserve"> food regulatory measures exist</w:t>
      </w:r>
      <w:r w:rsidR="002E0C5D">
        <w:t>.</w:t>
      </w:r>
    </w:p>
    <w:p w14:paraId="12B01A84" w14:textId="52669BF1" w:rsidR="00A7422F" w:rsidRDefault="00A7422F" w:rsidP="00510B7A">
      <w:pPr>
        <w:widowControl/>
        <w:spacing w:before="120" w:after="120"/>
      </w:pPr>
      <w:r w:rsidRPr="00824CF4">
        <w:t xml:space="preserve">The consideration of the costs and benefits in this section </w:t>
      </w:r>
      <w:r w:rsidR="00A10E1D">
        <w:t>was</w:t>
      </w:r>
      <w:r w:rsidRPr="00824CF4">
        <w:t xml:space="preserve"> not intended to be an exhaustive, quantitative economic analysis of the proposed measures</w:t>
      </w:r>
      <w:r>
        <w:t>.</w:t>
      </w:r>
      <w:r w:rsidRPr="00824CF4">
        <w:t xml:space="preserve"> </w:t>
      </w:r>
      <w:r>
        <w:t>I</w:t>
      </w:r>
      <w:r w:rsidRPr="00824CF4">
        <w:t xml:space="preserve">n fact, most of the effects that were considered cannot easily be assigned a dollar value. Rather, the assessment </w:t>
      </w:r>
      <w:r w:rsidR="00A10E1D">
        <w:t>sought</w:t>
      </w:r>
      <w:r w:rsidRPr="00824CF4">
        <w:t xml:space="preserve"> to highlight the likely positives and negatives of </w:t>
      </w:r>
      <w:r>
        <w:t xml:space="preserve">permitting the use of the applicant’s </w:t>
      </w:r>
      <w:r w:rsidRPr="00FD4EC3">
        <w:t>2′-FL</w:t>
      </w:r>
      <w:r>
        <w:t xml:space="preserve"> in IFP only and then in both IFP and FSFYC</w:t>
      </w:r>
      <w:r w:rsidRPr="00824CF4">
        <w:t>.</w:t>
      </w:r>
    </w:p>
    <w:p w14:paraId="5DE1A3C9" w14:textId="5E9EF436" w:rsidR="00A7422F" w:rsidDel="00CC7360" w:rsidRDefault="00A7422F" w:rsidP="00510B7A">
      <w:pPr>
        <w:widowControl/>
        <w:spacing w:before="120" w:after="120"/>
      </w:pPr>
      <w:r>
        <w:t>FSANZ’s assessment of the applicant’s 2</w:t>
      </w:r>
      <w:r>
        <w:rPr>
          <w:lang w:val="en-AU"/>
        </w:rPr>
        <w:t>′</w:t>
      </w:r>
      <w:r>
        <w:t>-FL concluded it is chemically and structurally identical to that naturally present in human milk, and will not propose a health or safety risk for consumers. The applicant’s 2</w:t>
      </w:r>
      <w:r>
        <w:rPr>
          <w:lang w:val="en-AU"/>
        </w:rPr>
        <w:t>′</w:t>
      </w:r>
      <w:r>
        <w:t>-FL is also chemically and structurally identical to the 2</w:t>
      </w:r>
      <w:r>
        <w:rPr>
          <w:lang w:val="en-AU"/>
        </w:rPr>
        <w:t>′</w:t>
      </w:r>
      <w:r>
        <w:t>-FL</w:t>
      </w:r>
      <w:r w:rsidR="002E0C5D">
        <w:t xml:space="preserve"> already permitted in the Code.</w:t>
      </w:r>
    </w:p>
    <w:p w14:paraId="46B1B336" w14:textId="4D5CBA57" w:rsidR="00A7422F" w:rsidRDefault="00A7422F" w:rsidP="00510B7A">
      <w:pPr>
        <w:widowControl/>
        <w:spacing w:before="120" w:after="120"/>
      </w:pPr>
      <w:r>
        <w:t xml:space="preserve">As discussed in </w:t>
      </w:r>
      <w:r w:rsidR="00AC5534">
        <w:t xml:space="preserve">Section </w:t>
      </w:r>
      <w:r w:rsidR="00A10E1D">
        <w:t>2.2</w:t>
      </w:r>
      <w:r w:rsidRPr="00901ABC">
        <w:t>. of this report</w:t>
      </w:r>
      <w:r>
        <w:t>, F</w:t>
      </w:r>
      <w:r w:rsidR="00A10E1D">
        <w:t>SANZ concluded</w:t>
      </w:r>
      <w:r w:rsidRPr="00D86CEA">
        <w:t xml:space="preserve"> that </w:t>
      </w:r>
      <w:r>
        <w:t>the</w:t>
      </w:r>
      <w:r w:rsidR="0005642E">
        <w:t>re is evidence of a</w:t>
      </w:r>
      <w:r>
        <w:t xml:space="preserve"> </w:t>
      </w:r>
      <w:r w:rsidRPr="00D86CEA">
        <w:t xml:space="preserve">bifidogenic effect </w:t>
      </w:r>
      <w:r>
        <w:t xml:space="preserve">and </w:t>
      </w:r>
      <w:r w:rsidRPr="00D86CEA">
        <w:t>anti</w:t>
      </w:r>
      <w:r>
        <w:noBreakHyphen/>
      </w:r>
      <w:r w:rsidRPr="00D86CEA">
        <w:t>infective</w:t>
      </w:r>
      <w:r>
        <w:t xml:space="preserve"> effect against invasive </w:t>
      </w:r>
      <w:r>
        <w:rPr>
          <w:i/>
        </w:rPr>
        <w:t>C.</w:t>
      </w:r>
      <w:r w:rsidRPr="00D86CEA">
        <w:rPr>
          <w:i/>
        </w:rPr>
        <w:t xml:space="preserve"> </w:t>
      </w:r>
      <w:r>
        <w:rPr>
          <w:i/>
        </w:rPr>
        <w:t>jejuni</w:t>
      </w:r>
      <w:r w:rsidRPr="00D86CEA">
        <w:t xml:space="preserve"> </w:t>
      </w:r>
      <w:r>
        <w:t xml:space="preserve">in infants and young children, </w:t>
      </w:r>
      <w:r w:rsidR="0005642E">
        <w:t xml:space="preserve">however </w:t>
      </w:r>
      <w:r>
        <w:t>the eviden</w:t>
      </w:r>
      <w:r w:rsidR="002E0C5D">
        <w:t xml:space="preserve">ce </w:t>
      </w:r>
      <w:r w:rsidR="00A10E1D" w:rsidRPr="00250CDB">
        <w:rPr>
          <w:lang w:val="en-AU"/>
        </w:rPr>
        <w:t>is limited</w:t>
      </w:r>
      <w:r w:rsidR="00A10E1D">
        <w:t xml:space="preserve"> in </w:t>
      </w:r>
      <w:r w:rsidR="002E0C5D">
        <w:t>young children.</w:t>
      </w:r>
    </w:p>
    <w:p w14:paraId="324D593A" w14:textId="09B22A6B" w:rsidR="001A20EA" w:rsidRDefault="001A20EA" w:rsidP="00510B7A">
      <w:pPr>
        <w:widowControl/>
        <w:spacing w:before="120" w:after="120"/>
      </w:pPr>
      <w:r>
        <w:rPr>
          <w:lang w:val="en-AU"/>
        </w:rPr>
        <w:t xml:space="preserve">As discussed in Section 3.1 of this report, </w:t>
      </w:r>
      <w:r w:rsidR="009548D8">
        <w:rPr>
          <w:lang w:val="en-AU"/>
        </w:rPr>
        <w:t xml:space="preserve">in order to assess all available evidence, </w:t>
      </w:r>
      <w:r>
        <w:rPr>
          <w:lang w:val="en-AU"/>
        </w:rPr>
        <w:t xml:space="preserve">FSANZ requested additional evidence from the applicant supporting a beneficial health outcome in young children from the addition of </w:t>
      </w:r>
      <w:r w:rsidRPr="000F2E89">
        <w:rPr>
          <w:lang w:val="en-AU"/>
        </w:rPr>
        <w:t>2′-FL</w:t>
      </w:r>
      <w:r>
        <w:rPr>
          <w:lang w:val="en-AU"/>
        </w:rPr>
        <w:t xml:space="preserve"> in FSFYC. No additional evidence was available from the applicant and FSANZ did not identify any new scientific literature independently; additional studies provided in submissions these were assessed as being of low quality and limited relevance to the permission.</w:t>
      </w:r>
    </w:p>
    <w:p w14:paraId="4AF34BC8" w14:textId="77777777" w:rsidR="00A7422F" w:rsidRPr="00DE5CC1" w:rsidRDefault="00A7422F" w:rsidP="00DE5CC1">
      <w:pPr>
        <w:pStyle w:val="Heading4"/>
      </w:pPr>
      <w:r w:rsidRPr="00DE5CC1">
        <w:t>Option 2 Costs and benefits of permitting the use of the applicant’s 2′-FL in infant formula products only</w:t>
      </w:r>
    </w:p>
    <w:p w14:paraId="42BA75BD" w14:textId="108D1AA2" w:rsidR="00A7422F" w:rsidRDefault="00877592" w:rsidP="00510B7A">
      <w:pPr>
        <w:widowControl/>
        <w:spacing w:before="120" w:after="120"/>
      </w:pPr>
      <w:r>
        <w:t>As the</w:t>
      </w:r>
      <w:r w:rsidR="00A7422F">
        <w:t xml:space="preserve"> permission </w:t>
      </w:r>
      <w:r>
        <w:t>is</w:t>
      </w:r>
      <w:r w:rsidR="00A7422F">
        <w:t xml:space="preserve"> voluntary, industry will use this new 2′-FL permission only where they believe a net benefit exists for them over </w:t>
      </w:r>
      <w:r>
        <w:t xml:space="preserve">use of </w:t>
      </w:r>
      <w:r w:rsidR="00A7422F">
        <w:t>the exist</w:t>
      </w:r>
      <w:r w:rsidR="002E0C5D">
        <w:t xml:space="preserve">ing permitted source of 2′-FL. </w:t>
      </w:r>
    </w:p>
    <w:p w14:paraId="6C4FE596" w14:textId="5A0F21EE" w:rsidR="00A7422F" w:rsidRPr="006A020A" w:rsidRDefault="00A7422F" w:rsidP="00510B7A">
      <w:pPr>
        <w:widowControl/>
        <w:spacing w:before="120" w:after="120"/>
      </w:pPr>
      <w:r>
        <w:t>Option 2 permit</w:t>
      </w:r>
      <w:r w:rsidR="00877592">
        <w:t>s</w:t>
      </w:r>
      <w:r>
        <w:t xml:space="preserve"> an additional source of 2′-FL for IFPs. This would increase competition in the manufacturing processes. Costs of producing and purchasing IFPs might then reduce and availability might increase, potentially benefitti</w:t>
      </w:r>
      <w:r w:rsidR="002E0C5D">
        <w:t>ng both industry and consumers.</w:t>
      </w:r>
    </w:p>
    <w:p w14:paraId="18ED8BB6" w14:textId="5B157D6B" w:rsidR="00A7422F" w:rsidRPr="00E7415E" w:rsidRDefault="00A7422F" w:rsidP="00510B7A">
      <w:pPr>
        <w:widowControl/>
        <w:spacing w:before="120" w:after="120"/>
      </w:pPr>
      <w:r w:rsidRPr="00E7415E">
        <w:t xml:space="preserve">A potentially greater supply and lower cost of </w:t>
      </w:r>
      <w:r>
        <w:t>2′-FL from this proposed permission</w:t>
      </w:r>
      <w:r w:rsidRPr="00E7415E">
        <w:t xml:space="preserve"> could </w:t>
      </w:r>
      <w:r>
        <w:t>also</w:t>
      </w:r>
      <w:r w:rsidRPr="00E7415E">
        <w:t xml:space="preserve"> help IFP exporters that want to use 2′-FL in their products </w:t>
      </w:r>
      <w:r>
        <w:t xml:space="preserve">to </w:t>
      </w:r>
      <w:r w:rsidRPr="00E7415E">
        <w:t>compete internationally. IFP exports are important to Australia and New Zealand. Excluding FSFYC, annual IFP exports are approximately valued at over AU$ 700 million for Australia and over NZ$ 1 billion for New Zealand</w:t>
      </w:r>
      <w:r w:rsidRPr="00E7415E">
        <w:rPr>
          <w:rStyle w:val="FootnoteReference"/>
        </w:rPr>
        <w:footnoteReference w:id="24"/>
      </w:r>
      <w:r w:rsidR="002E0C5D">
        <w:t xml:space="preserve">. </w:t>
      </w:r>
    </w:p>
    <w:p w14:paraId="125AE761" w14:textId="32C49BA9" w:rsidR="00A7422F" w:rsidRPr="005F2A8C" w:rsidRDefault="00A7422F" w:rsidP="00510B7A">
      <w:pPr>
        <w:widowControl/>
        <w:spacing w:before="120" w:after="120"/>
      </w:pPr>
      <w:r w:rsidRPr="00E7415E">
        <w:t xml:space="preserve">There is a risk that not permitting further </w:t>
      </w:r>
      <w:r>
        <w:t>sources</w:t>
      </w:r>
      <w:r w:rsidRPr="00E7415E">
        <w:t xml:space="preserve"> of 2′-FL (beyond current permissions) and rejecting this application could constrain product innovation that </w:t>
      </w:r>
      <w:r>
        <w:t>could be</w:t>
      </w:r>
      <w:r w:rsidRPr="00E7415E">
        <w:t xml:space="preserve"> enabled by greater </w:t>
      </w:r>
      <w:r w:rsidRPr="00E7415E">
        <w:lastRenderedPageBreak/>
        <w:t>supply and lower price of 2′-FL, reduce long-term compe</w:t>
      </w:r>
      <w:r>
        <w:t>t</w:t>
      </w:r>
      <w:r w:rsidRPr="00E7415E">
        <w:t>itiveness of Australia</w:t>
      </w:r>
      <w:r>
        <w:t xml:space="preserve"> and </w:t>
      </w:r>
      <w:r w:rsidRPr="00E7415E">
        <w:t xml:space="preserve">New Zealand exports over time and reduce employment opportunities. That is because overseas producers of IFPs can access </w:t>
      </w:r>
      <w:r w:rsidR="00877592">
        <w:t>more</w:t>
      </w:r>
      <w:r w:rsidRPr="00E7415E">
        <w:t xml:space="preserve"> </w:t>
      </w:r>
      <w:r w:rsidR="00856668">
        <w:t>sources</w:t>
      </w:r>
      <w:r w:rsidR="00856668" w:rsidRPr="00E7415E">
        <w:t xml:space="preserve"> </w:t>
      </w:r>
      <w:r w:rsidRPr="00E7415E">
        <w:t>of 2′-FL than are currently permitted in Australia</w:t>
      </w:r>
      <w:r>
        <w:t xml:space="preserve"> and </w:t>
      </w:r>
      <w:r w:rsidRPr="00E7415E">
        <w:t>N</w:t>
      </w:r>
      <w:r>
        <w:t xml:space="preserve">ew </w:t>
      </w:r>
      <w:r w:rsidRPr="00E7415E">
        <w:t>Z</w:t>
      </w:r>
      <w:r>
        <w:t>ealand</w:t>
      </w:r>
      <w:r w:rsidRPr="00E7415E">
        <w:t xml:space="preserve">. Permitting </w:t>
      </w:r>
      <w:r>
        <w:t>this application</w:t>
      </w:r>
      <w:r>
        <w:rPr>
          <w:vertAlign w:val="subscript"/>
        </w:rPr>
        <w:t xml:space="preserve"> </w:t>
      </w:r>
      <w:r w:rsidR="00877592">
        <w:t>will</w:t>
      </w:r>
      <w:r w:rsidRPr="00F73383">
        <w:t xml:space="preserve"> </w:t>
      </w:r>
      <w:r>
        <w:rPr>
          <w:szCs w:val="22"/>
        </w:rPr>
        <w:t xml:space="preserve">improve harmonisation with international regulations by allowing additional sources </w:t>
      </w:r>
      <w:r w:rsidRPr="00E7415E">
        <w:rPr>
          <w:szCs w:val="22"/>
        </w:rPr>
        <w:t xml:space="preserve">of </w:t>
      </w:r>
      <w:r w:rsidRPr="00E7415E">
        <w:t>2′-FL</w:t>
      </w:r>
      <w:r>
        <w:t xml:space="preserve"> onto the </w:t>
      </w:r>
      <w:r w:rsidR="00877592">
        <w:t xml:space="preserve">IFP </w:t>
      </w:r>
      <w:r>
        <w:t>market</w:t>
      </w:r>
      <w:r w:rsidR="005F2A8C">
        <w:t>.</w:t>
      </w:r>
    </w:p>
    <w:p w14:paraId="446B3B32" w14:textId="3F760A69" w:rsidR="00A7422F" w:rsidRDefault="00A7422F" w:rsidP="00510B7A">
      <w:pPr>
        <w:widowControl/>
        <w:spacing w:before="120" w:after="120"/>
      </w:pPr>
      <w:r>
        <w:rPr>
          <w:lang w:bidi="ar-SA"/>
        </w:rPr>
        <w:t xml:space="preserve">Permitting this additional </w:t>
      </w:r>
      <w:r w:rsidR="00856668">
        <w:rPr>
          <w:lang w:bidi="ar-SA"/>
        </w:rPr>
        <w:t xml:space="preserve">source </w:t>
      </w:r>
      <w:r>
        <w:rPr>
          <w:lang w:bidi="ar-SA"/>
        </w:rPr>
        <w:t xml:space="preserve">of </w:t>
      </w:r>
      <w:r w:rsidRPr="00E9174B">
        <w:t>2′-FL</w:t>
      </w:r>
      <w:r>
        <w:rPr>
          <w:lang w:bidi="ar-SA"/>
        </w:rPr>
        <w:t xml:space="preserve"> </w:t>
      </w:r>
      <w:r w:rsidRPr="00F9067B">
        <w:rPr>
          <w:lang w:bidi="ar-SA"/>
        </w:rPr>
        <w:t xml:space="preserve">may result in a small </w:t>
      </w:r>
      <w:r>
        <w:rPr>
          <w:lang w:bidi="ar-SA"/>
        </w:rPr>
        <w:t xml:space="preserve">but likely inconsequential </w:t>
      </w:r>
      <w:r w:rsidRPr="00F9067B">
        <w:rPr>
          <w:lang w:bidi="ar-SA"/>
        </w:rPr>
        <w:t xml:space="preserve">cost to government in terms </w:t>
      </w:r>
      <w:r>
        <w:rPr>
          <w:lang w:bidi="ar-SA"/>
        </w:rPr>
        <w:t xml:space="preserve">of </w:t>
      </w:r>
      <w:r w:rsidRPr="00F9067B">
        <w:rPr>
          <w:lang w:bidi="ar-SA"/>
        </w:rPr>
        <w:t>compliance</w:t>
      </w:r>
      <w:r>
        <w:rPr>
          <w:lang w:bidi="ar-SA"/>
        </w:rPr>
        <w:t xml:space="preserve"> monitoring for an additional </w:t>
      </w:r>
      <w:r w:rsidRPr="00E9174B">
        <w:t>2′-FL</w:t>
      </w:r>
      <w:r>
        <w:t xml:space="preserve"> source.</w:t>
      </w:r>
    </w:p>
    <w:p w14:paraId="60CAC787" w14:textId="77777777" w:rsidR="00A7422F" w:rsidRPr="00DE5CC1" w:rsidRDefault="00A7422F" w:rsidP="00DE5CC1">
      <w:pPr>
        <w:pStyle w:val="Heading4"/>
      </w:pPr>
      <w:r w:rsidRPr="00DE5CC1">
        <w:rPr>
          <w:rStyle w:val="Heading4Char"/>
          <w:b/>
          <w:bCs/>
          <w:i/>
          <w:iCs/>
        </w:rPr>
        <w:t>Option</w:t>
      </w:r>
      <w:r w:rsidRPr="00DE5CC1" w:rsidDel="006F4F3F">
        <w:rPr>
          <w:rStyle w:val="Heading4Char"/>
          <w:b/>
          <w:bCs/>
          <w:i/>
          <w:iCs/>
        </w:rPr>
        <w:t xml:space="preserve"> </w:t>
      </w:r>
      <w:r w:rsidRPr="00DE5CC1">
        <w:rPr>
          <w:rStyle w:val="Heading4Char"/>
          <w:b/>
          <w:bCs/>
          <w:i/>
          <w:iCs/>
        </w:rPr>
        <w:t>3 Costs and benefits of permitting the use of the applicant’s 2′-FL in IFP and FSFYC</w:t>
      </w:r>
    </w:p>
    <w:p w14:paraId="0CA26EE6" w14:textId="4D290EB3" w:rsidR="00A7422F" w:rsidRPr="00C221AA" w:rsidRDefault="00A7422F" w:rsidP="00510B7A">
      <w:pPr>
        <w:pStyle w:val="CommentText"/>
        <w:widowControl/>
        <w:spacing w:before="120" w:after="120"/>
        <w:rPr>
          <w:sz w:val="22"/>
          <w:lang w:val="en-AU"/>
        </w:rPr>
      </w:pPr>
      <w:r>
        <w:rPr>
          <w:sz w:val="22"/>
          <w:lang w:val="en-AU"/>
        </w:rPr>
        <w:t xml:space="preserve">FSANZ acknowledges that permitting </w:t>
      </w:r>
      <w:r w:rsidR="00877592">
        <w:rPr>
          <w:sz w:val="22"/>
          <w:lang w:val="en-AU"/>
        </w:rPr>
        <w:t xml:space="preserve">the </w:t>
      </w:r>
      <w:r>
        <w:rPr>
          <w:sz w:val="22"/>
          <w:lang w:val="en-AU"/>
        </w:rPr>
        <w:t xml:space="preserve">voluntary addition of </w:t>
      </w:r>
      <w:r w:rsidRPr="00283B5D">
        <w:rPr>
          <w:sz w:val="22"/>
          <w:lang w:val="en-AU"/>
        </w:rPr>
        <w:t>2′-FL</w:t>
      </w:r>
      <w:r>
        <w:rPr>
          <w:sz w:val="22"/>
          <w:lang w:val="en-AU"/>
        </w:rPr>
        <w:t xml:space="preserve"> in both IFP and FSFYC may </w:t>
      </w:r>
      <w:r w:rsidR="00215C84">
        <w:rPr>
          <w:sz w:val="22"/>
          <w:lang w:val="en-AU"/>
        </w:rPr>
        <w:t xml:space="preserve">have some </w:t>
      </w:r>
      <w:r>
        <w:rPr>
          <w:sz w:val="22"/>
          <w:lang w:val="en-AU"/>
        </w:rPr>
        <w:t xml:space="preserve">benefit </w:t>
      </w:r>
      <w:r w:rsidR="00215C84">
        <w:rPr>
          <w:sz w:val="22"/>
          <w:lang w:val="en-AU"/>
        </w:rPr>
        <w:t xml:space="preserve">to </w:t>
      </w:r>
      <w:r>
        <w:rPr>
          <w:sz w:val="22"/>
          <w:lang w:val="en-AU"/>
        </w:rPr>
        <w:t>industry relative to Option 2 and the Status Quo.</w:t>
      </w:r>
    </w:p>
    <w:p w14:paraId="2A251542" w14:textId="07B7FFA7" w:rsidR="008D0608" w:rsidRDefault="008D0608" w:rsidP="00510B7A">
      <w:pPr>
        <w:pStyle w:val="CommentText"/>
        <w:widowControl/>
        <w:spacing w:before="120" w:after="120"/>
        <w:rPr>
          <w:sz w:val="22"/>
          <w:lang w:val="en-AU"/>
        </w:rPr>
      </w:pPr>
      <w:r>
        <w:rPr>
          <w:sz w:val="22"/>
          <w:lang w:val="en-AU"/>
        </w:rPr>
        <w:t xml:space="preserve">However, </w:t>
      </w:r>
      <w:r w:rsidR="00215C84">
        <w:rPr>
          <w:sz w:val="22"/>
          <w:lang w:val="en-AU"/>
        </w:rPr>
        <w:t xml:space="preserve">FSANZ </w:t>
      </w:r>
      <w:r w:rsidR="0077298E">
        <w:rPr>
          <w:sz w:val="22"/>
          <w:lang w:val="en-AU"/>
        </w:rPr>
        <w:t>assessed</w:t>
      </w:r>
      <w:r w:rsidR="00215C84">
        <w:rPr>
          <w:sz w:val="22"/>
          <w:lang w:val="en-AU"/>
        </w:rPr>
        <w:t xml:space="preserve"> that </w:t>
      </w:r>
      <w:r>
        <w:rPr>
          <w:sz w:val="22"/>
          <w:lang w:val="en-AU"/>
        </w:rPr>
        <w:t xml:space="preserve">Option 3 </w:t>
      </w:r>
      <w:r w:rsidR="00215C84">
        <w:rPr>
          <w:sz w:val="22"/>
          <w:lang w:val="en-AU"/>
        </w:rPr>
        <w:t>is not</w:t>
      </w:r>
      <w:r>
        <w:rPr>
          <w:sz w:val="22"/>
          <w:lang w:val="en-AU"/>
        </w:rPr>
        <w:t xml:space="preserve"> the most beneficial option for </w:t>
      </w:r>
      <w:r w:rsidR="00215C84">
        <w:rPr>
          <w:sz w:val="22"/>
          <w:lang w:val="en-AU"/>
        </w:rPr>
        <w:t>the community</w:t>
      </w:r>
      <w:r>
        <w:rPr>
          <w:sz w:val="22"/>
          <w:lang w:val="en-AU"/>
        </w:rPr>
        <w:t xml:space="preserve"> for the following reasons:</w:t>
      </w:r>
    </w:p>
    <w:p w14:paraId="7C6781E3" w14:textId="2AF4C198" w:rsidR="00035F7D" w:rsidRDefault="00A7422F" w:rsidP="00035F7D">
      <w:pPr>
        <w:pStyle w:val="CommentText"/>
        <w:widowControl/>
        <w:numPr>
          <w:ilvl w:val="0"/>
          <w:numId w:val="35"/>
        </w:numPr>
        <w:spacing w:before="120" w:after="120"/>
        <w:rPr>
          <w:sz w:val="22"/>
          <w:lang w:val="en-AU"/>
        </w:rPr>
      </w:pPr>
      <w:r>
        <w:rPr>
          <w:sz w:val="22"/>
          <w:lang w:val="en-AU"/>
        </w:rPr>
        <w:t xml:space="preserve">the </w:t>
      </w:r>
      <w:r w:rsidRPr="00815206">
        <w:rPr>
          <w:sz w:val="22"/>
          <w:lang w:val="en-AU"/>
        </w:rPr>
        <w:t>Australian Infant Feeding Guidelines state that FSFYC are not required for healthy children over the age of twelve months as they should be consuming adequate nutrients from regular foods (NHMRC 2012)</w:t>
      </w:r>
      <w:r w:rsidR="00D75482">
        <w:rPr>
          <w:sz w:val="22"/>
          <w:lang w:val="en-AU"/>
        </w:rPr>
        <w:t>.</w:t>
      </w:r>
      <w:r>
        <w:rPr>
          <w:sz w:val="22"/>
          <w:lang w:val="en-AU"/>
        </w:rPr>
        <w:t xml:space="preserve"> </w:t>
      </w:r>
      <w:r w:rsidR="00D75482">
        <w:rPr>
          <w:sz w:val="22"/>
          <w:lang w:val="en-AU"/>
        </w:rPr>
        <w:t>T</w:t>
      </w:r>
      <w:r>
        <w:rPr>
          <w:sz w:val="22"/>
          <w:lang w:val="en-AU"/>
        </w:rPr>
        <w:t>herefore</w:t>
      </w:r>
      <w:r w:rsidR="00D75482">
        <w:rPr>
          <w:sz w:val="22"/>
          <w:lang w:val="en-AU"/>
        </w:rPr>
        <w:t>,</w:t>
      </w:r>
      <w:r>
        <w:rPr>
          <w:sz w:val="22"/>
          <w:lang w:val="en-AU"/>
        </w:rPr>
        <w:t xml:space="preserve"> most healthy young children have no nutritional requirement for FSFYC</w:t>
      </w:r>
      <w:r w:rsidR="00D75482">
        <w:rPr>
          <w:sz w:val="22"/>
          <w:lang w:val="en-AU"/>
        </w:rPr>
        <w:t xml:space="preserve"> </w:t>
      </w:r>
      <w:r w:rsidR="00D75482" w:rsidRPr="00DA0DBB">
        <w:rPr>
          <w:sz w:val="22"/>
          <w:lang w:val="en-AU"/>
        </w:rPr>
        <w:t>and parents</w:t>
      </w:r>
      <w:r w:rsidR="00EE5563" w:rsidRPr="00DA0DBB">
        <w:rPr>
          <w:sz w:val="22"/>
          <w:lang w:val="en-AU"/>
        </w:rPr>
        <w:t xml:space="preserve"> and caregivers</w:t>
      </w:r>
      <w:r w:rsidR="00D75482" w:rsidRPr="00DA0DBB">
        <w:rPr>
          <w:sz w:val="22"/>
          <w:lang w:val="en-AU"/>
        </w:rPr>
        <w:t xml:space="preserve"> may spend money and resources on unnecessary foods</w:t>
      </w:r>
      <w:r w:rsidR="00035F7D" w:rsidRPr="00DA0DBB">
        <w:rPr>
          <w:sz w:val="22"/>
          <w:lang w:val="en-AU"/>
        </w:rPr>
        <w:t>;</w:t>
      </w:r>
      <w:r w:rsidR="00035F7D">
        <w:rPr>
          <w:sz w:val="22"/>
          <w:lang w:val="en-AU"/>
        </w:rPr>
        <w:t xml:space="preserve"> </w:t>
      </w:r>
    </w:p>
    <w:p w14:paraId="4E85180A" w14:textId="7BF791C8" w:rsidR="00A7422F" w:rsidRPr="00E26BBC" w:rsidRDefault="00A7422F" w:rsidP="00035F7D">
      <w:pPr>
        <w:pStyle w:val="CommentText"/>
        <w:widowControl/>
        <w:numPr>
          <w:ilvl w:val="0"/>
          <w:numId w:val="35"/>
        </w:numPr>
        <w:spacing w:before="120" w:after="120"/>
        <w:rPr>
          <w:sz w:val="22"/>
          <w:lang w:val="en-AU"/>
        </w:rPr>
      </w:pPr>
      <w:r>
        <w:rPr>
          <w:sz w:val="22"/>
          <w:lang w:val="en-AU"/>
        </w:rPr>
        <w:t xml:space="preserve">the evidence supporting beneficial health outcomes in young children from the consumption of FSFYC containing </w:t>
      </w:r>
      <w:r w:rsidRPr="00283B5D">
        <w:rPr>
          <w:sz w:val="22"/>
          <w:lang w:val="en-AU"/>
        </w:rPr>
        <w:t>2′-FL</w:t>
      </w:r>
      <w:r>
        <w:rPr>
          <w:sz w:val="22"/>
          <w:lang w:val="en-AU"/>
        </w:rPr>
        <w:t xml:space="preserve"> is </w:t>
      </w:r>
      <w:r w:rsidR="003E21C9">
        <w:rPr>
          <w:sz w:val="22"/>
          <w:lang w:val="en-AU"/>
        </w:rPr>
        <w:t>limited</w:t>
      </w:r>
      <w:r>
        <w:rPr>
          <w:sz w:val="22"/>
          <w:lang w:val="en-AU"/>
        </w:rPr>
        <w:t>.</w:t>
      </w:r>
    </w:p>
    <w:p w14:paraId="62F81118" w14:textId="77777777" w:rsidR="00A7422F" w:rsidRPr="00DE5CC1" w:rsidRDefault="00A7422F" w:rsidP="00DE5CC1">
      <w:pPr>
        <w:pStyle w:val="Heading4"/>
      </w:pPr>
      <w:r w:rsidRPr="00DE5CC1">
        <w:t>Conclusions from cost benefit considerations</w:t>
      </w:r>
    </w:p>
    <w:p w14:paraId="2590EB2D" w14:textId="01C12011" w:rsidR="00F210BF" w:rsidRPr="00F210BF" w:rsidRDefault="00B05F7E" w:rsidP="00F210BF">
      <w:pPr>
        <w:pStyle w:val="CommentText"/>
        <w:rPr>
          <w:sz w:val="22"/>
          <w:szCs w:val="22"/>
        </w:rPr>
      </w:pPr>
      <w:r w:rsidRPr="00F210BF">
        <w:rPr>
          <w:sz w:val="22"/>
          <w:szCs w:val="22"/>
        </w:rPr>
        <w:t xml:space="preserve">Having regard to the best available evidence, FSANZ did not reach </w:t>
      </w:r>
      <w:r w:rsidR="008A70D2">
        <w:rPr>
          <w:sz w:val="22"/>
          <w:szCs w:val="22"/>
        </w:rPr>
        <w:t>a</w:t>
      </w:r>
      <w:r w:rsidR="008A70D2" w:rsidRPr="00F210BF">
        <w:rPr>
          <w:sz w:val="22"/>
          <w:szCs w:val="22"/>
        </w:rPr>
        <w:t xml:space="preserve"> </w:t>
      </w:r>
      <w:r w:rsidRPr="00F210BF">
        <w:rPr>
          <w:sz w:val="22"/>
          <w:szCs w:val="22"/>
        </w:rPr>
        <w:t xml:space="preserve">conclusion about </w:t>
      </w:r>
      <w:r w:rsidR="000934CE" w:rsidRPr="00DA0DBB">
        <w:rPr>
          <w:sz w:val="22"/>
          <w:szCs w:val="22"/>
        </w:rPr>
        <w:t xml:space="preserve">Option 3, because it is not currently clear how costs to parents and caregivers </w:t>
      </w:r>
      <w:r w:rsidR="008A70D2" w:rsidRPr="00DA0DBB">
        <w:rPr>
          <w:sz w:val="22"/>
          <w:szCs w:val="22"/>
        </w:rPr>
        <w:t xml:space="preserve">who </w:t>
      </w:r>
      <w:r w:rsidR="000934CE" w:rsidRPr="00DA0DBB">
        <w:rPr>
          <w:sz w:val="22"/>
          <w:szCs w:val="22"/>
        </w:rPr>
        <w:t>giv</w:t>
      </w:r>
      <w:r w:rsidR="008A70D2" w:rsidRPr="00DA0DBB">
        <w:rPr>
          <w:sz w:val="22"/>
          <w:szCs w:val="22"/>
        </w:rPr>
        <w:t>e</w:t>
      </w:r>
      <w:r w:rsidR="000934CE" w:rsidRPr="00DA0DBB">
        <w:rPr>
          <w:sz w:val="22"/>
          <w:szCs w:val="22"/>
        </w:rPr>
        <w:t xml:space="preserve"> </w:t>
      </w:r>
      <w:r w:rsidR="008A70D2" w:rsidRPr="00DA0DBB">
        <w:rPr>
          <w:sz w:val="22"/>
          <w:szCs w:val="22"/>
        </w:rPr>
        <w:t xml:space="preserve">their </w:t>
      </w:r>
      <w:r w:rsidR="000934CE" w:rsidRPr="00DA0DBB">
        <w:rPr>
          <w:sz w:val="22"/>
          <w:szCs w:val="22"/>
        </w:rPr>
        <w:t>young children foods that may not benefit them would c</w:t>
      </w:r>
      <w:r w:rsidR="00F210BF" w:rsidRPr="00DA0DBB">
        <w:rPr>
          <w:sz w:val="22"/>
          <w:szCs w:val="22"/>
        </w:rPr>
        <w:t>ompare to any industry benefits</w:t>
      </w:r>
      <w:r w:rsidR="00F210BF" w:rsidRPr="00F210BF">
        <w:rPr>
          <w:sz w:val="22"/>
          <w:szCs w:val="22"/>
        </w:rPr>
        <w:t>.</w:t>
      </w:r>
    </w:p>
    <w:p w14:paraId="14E989F4" w14:textId="1D11AE59" w:rsidR="00A7422F" w:rsidRPr="00DC1AB4" w:rsidRDefault="00F210BF" w:rsidP="00510B7A">
      <w:pPr>
        <w:widowControl/>
        <w:spacing w:before="120" w:after="120"/>
        <w:rPr>
          <w:lang w:val="en-AU"/>
        </w:rPr>
      </w:pPr>
      <w:r w:rsidRPr="00F210BF">
        <w:rPr>
          <w:szCs w:val="22"/>
        </w:rPr>
        <w:t xml:space="preserve">Option 2 is the preferred Option for the reasons stated above. </w:t>
      </w:r>
      <w:r w:rsidRPr="00F210BF">
        <w:rPr>
          <w:bCs/>
          <w:szCs w:val="22"/>
        </w:rPr>
        <w:t xml:space="preserve">FSANZ’s assessment is that the direct and indirect benefits that would arise from </w:t>
      </w:r>
      <w:r w:rsidRPr="00F210BF">
        <w:rPr>
          <w:szCs w:val="22"/>
        </w:rPr>
        <w:t>that Option</w:t>
      </w:r>
      <w:r w:rsidRPr="00F210BF">
        <w:rPr>
          <w:rFonts w:cs="Arial"/>
          <w:szCs w:val="22"/>
        </w:rPr>
        <w:t xml:space="preserve"> will </w:t>
      </w:r>
      <w:r w:rsidRPr="00F210BF">
        <w:rPr>
          <w:bCs/>
          <w:szCs w:val="22"/>
        </w:rPr>
        <w:t>most likely outweigh the associated costs</w:t>
      </w:r>
      <w:r>
        <w:rPr>
          <w:bCs/>
          <w:szCs w:val="22"/>
        </w:rPr>
        <w:t>.</w:t>
      </w:r>
    </w:p>
    <w:p w14:paraId="4EED5C33" w14:textId="706081BF" w:rsidR="00A7422F" w:rsidRPr="00DE5CC1" w:rsidRDefault="00246EBF" w:rsidP="00DE5CC1">
      <w:pPr>
        <w:pStyle w:val="Heading3"/>
      </w:pPr>
      <w:bookmarkStart w:id="137" w:name="_Toc73104840"/>
      <w:bookmarkStart w:id="138" w:name="_Toc77338789"/>
      <w:bookmarkStart w:id="139" w:name="_Toc81995111"/>
      <w:bookmarkStart w:id="140" w:name="_Toc370223479"/>
      <w:bookmarkStart w:id="141" w:name="_Toc370225394"/>
      <w:bookmarkStart w:id="142" w:name="_Toc300761897"/>
      <w:bookmarkStart w:id="143" w:name="_Toc300933440"/>
      <w:r>
        <w:t>5</w:t>
      </w:r>
      <w:r w:rsidR="00A7422F" w:rsidRPr="00DE5CC1">
        <w:t>.1.2</w:t>
      </w:r>
      <w:r w:rsidR="00A7422F" w:rsidRPr="00DE5CC1">
        <w:tab/>
        <w:t>Other measures</w:t>
      </w:r>
      <w:bookmarkEnd w:id="137"/>
      <w:bookmarkEnd w:id="138"/>
      <w:bookmarkEnd w:id="139"/>
    </w:p>
    <w:p w14:paraId="02F6E93F" w14:textId="163CC19D" w:rsidR="00A7422F" w:rsidRPr="0060443F" w:rsidRDefault="00A7422F" w:rsidP="00510B7A">
      <w:pPr>
        <w:widowControl/>
        <w:spacing w:before="120" w:after="120"/>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w:t>
      </w:r>
      <w:r w:rsidRPr="009F2C07">
        <w:rPr>
          <w:color w:val="000000" w:themeColor="text1"/>
        </w:rPr>
        <w:t xml:space="preserve">result of </w:t>
      </w:r>
      <w:r w:rsidR="005F1E79">
        <w:rPr>
          <w:color w:val="000000" w:themeColor="text1"/>
        </w:rPr>
        <w:t>the Application</w:t>
      </w:r>
      <w:r w:rsidRPr="009F2C07">
        <w:rPr>
          <w:color w:val="000000" w:themeColor="text1"/>
        </w:rPr>
        <w:t>.</w:t>
      </w:r>
    </w:p>
    <w:p w14:paraId="555ECBC2" w14:textId="0B5D3C7E" w:rsidR="00A7422F" w:rsidRDefault="00A7422F" w:rsidP="00510B7A">
      <w:pPr>
        <w:pStyle w:val="Heading4"/>
        <w:widowControl/>
        <w:spacing w:before="120" w:after="120"/>
      </w:pPr>
      <w:r>
        <w:t>A</w:t>
      </w:r>
      <w:r w:rsidRPr="00914030">
        <w:t>ny relevant New Zealand standards</w:t>
      </w:r>
    </w:p>
    <w:p w14:paraId="30BBC252" w14:textId="16BCEC25" w:rsidR="00A7422F" w:rsidRDefault="00A7422F" w:rsidP="00510B7A">
      <w:pPr>
        <w:widowControl/>
        <w:spacing w:before="120" w:after="120"/>
        <w:rPr>
          <w:lang w:bidi="ar-SA"/>
        </w:rPr>
      </w:pPr>
      <w:r>
        <w:rPr>
          <w:lang w:bidi="ar-SA"/>
        </w:rPr>
        <w:t>Relevant standards apply in both Australia and New Zealand. There are no relevant New Zealand only standards.</w:t>
      </w:r>
    </w:p>
    <w:p w14:paraId="2E1AA366" w14:textId="534F5700" w:rsidR="00A7422F" w:rsidRDefault="00A7422F" w:rsidP="00510B7A">
      <w:pPr>
        <w:pStyle w:val="Heading4"/>
        <w:widowControl/>
        <w:spacing w:before="120" w:after="120"/>
      </w:pPr>
      <w:r>
        <w:t>Any other relevant matters</w:t>
      </w:r>
    </w:p>
    <w:p w14:paraId="4EFB5134" w14:textId="77777777" w:rsidR="00A7422F" w:rsidRDefault="00A7422F" w:rsidP="00510B7A">
      <w:pPr>
        <w:widowControl/>
        <w:spacing w:before="120" w:after="120"/>
        <w:rPr>
          <w:lang w:bidi="ar-SA"/>
        </w:rPr>
      </w:pPr>
      <w:r>
        <w:t>Other relevant matters are considered below</w:t>
      </w:r>
      <w:r>
        <w:rPr>
          <w:lang w:bidi="ar-SA"/>
        </w:rPr>
        <w:t>.</w:t>
      </w:r>
      <w:r>
        <w:t xml:space="preserve"> </w:t>
      </w:r>
    </w:p>
    <w:p w14:paraId="466D4ECC" w14:textId="77242732" w:rsidR="00A7422F" w:rsidRPr="00DE5CC1" w:rsidRDefault="00246EBF" w:rsidP="00DE5CC1">
      <w:pPr>
        <w:pStyle w:val="Heading2"/>
      </w:pPr>
      <w:bookmarkStart w:id="144" w:name="_Toc73104841"/>
      <w:bookmarkStart w:id="145" w:name="_Toc77338790"/>
      <w:bookmarkStart w:id="146" w:name="_Toc81995112"/>
      <w:bookmarkEnd w:id="140"/>
      <w:bookmarkEnd w:id="141"/>
      <w:bookmarkEnd w:id="142"/>
      <w:bookmarkEnd w:id="143"/>
      <w:r>
        <w:t>5</w:t>
      </w:r>
      <w:r w:rsidR="00A7422F" w:rsidRPr="00DE5CC1">
        <w:t>.2.</w:t>
      </w:r>
      <w:r w:rsidR="00A7422F" w:rsidRPr="00DE5CC1">
        <w:tab/>
        <w:t>Subsection 18(1)</w:t>
      </w:r>
      <w:bookmarkEnd w:id="144"/>
      <w:bookmarkEnd w:id="145"/>
      <w:bookmarkEnd w:id="146"/>
      <w:r w:rsidR="00A7422F" w:rsidRPr="00DE5CC1">
        <w:t xml:space="preserve"> </w:t>
      </w:r>
    </w:p>
    <w:p w14:paraId="6A74BF66" w14:textId="212008A7" w:rsidR="00A7422F" w:rsidRPr="00914030" w:rsidRDefault="00A7422F" w:rsidP="00510B7A">
      <w:pPr>
        <w:widowControl/>
        <w:spacing w:before="120" w:after="120"/>
      </w:pPr>
      <w:r w:rsidRPr="00914030">
        <w:rPr>
          <w:rFonts w:cs="Arial"/>
        </w:rPr>
        <w:t xml:space="preserve">FSANZ has also </w:t>
      </w:r>
      <w:r w:rsidRPr="00914030">
        <w:t xml:space="preserve">considered the three objectives in subsection 18(1) of the </w:t>
      </w:r>
      <w:r>
        <w:t>FSANZ Act during the assessment.</w:t>
      </w:r>
    </w:p>
    <w:p w14:paraId="1BDF9D59" w14:textId="5CBEBA46" w:rsidR="00A7422F" w:rsidRPr="00246EBF" w:rsidRDefault="00A7422F" w:rsidP="00246EBF">
      <w:pPr>
        <w:pStyle w:val="ListParagraph"/>
        <w:numPr>
          <w:ilvl w:val="0"/>
          <w:numId w:val="25"/>
        </w:numPr>
        <w:rPr>
          <w:b/>
        </w:rPr>
      </w:pPr>
      <w:bookmarkStart w:id="147" w:name="_Toc297029117"/>
      <w:bookmarkStart w:id="148" w:name="_Toc300761898"/>
      <w:bookmarkStart w:id="149" w:name="_Toc300933441"/>
      <w:bookmarkStart w:id="150" w:name="_Toc73104842"/>
      <w:bookmarkStart w:id="151" w:name="_Toc77338791"/>
      <w:r w:rsidRPr="00246EBF">
        <w:rPr>
          <w:b/>
        </w:rPr>
        <w:t>Protection of public health and safety</w:t>
      </w:r>
      <w:bookmarkEnd w:id="147"/>
      <w:bookmarkEnd w:id="148"/>
      <w:bookmarkEnd w:id="149"/>
      <w:bookmarkEnd w:id="150"/>
      <w:bookmarkEnd w:id="151"/>
    </w:p>
    <w:p w14:paraId="71213673" w14:textId="0CD60CC5" w:rsidR="00A7422F" w:rsidRDefault="00A7422F" w:rsidP="00510B7A">
      <w:pPr>
        <w:widowControl/>
        <w:spacing w:before="120" w:after="120"/>
      </w:pPr>
      <w:bookmarkStart w:id="152" w:name="_Toc300761899"/>
      <w:bookmarkStart w:id="153" w:name="_Toc300933442"/>
      <w:r w:rsidRPr="001A6DFD">
        <w:t>F</w:t>
      </w:r>
      <w:r>
        <w:t xml:space="preserve">SANZ completed a </w:t>
      </w:r>
      <w:r w:rsidRPr="004424CC">
        <w:t>safety and risk assessment (SD1)</w:t>
      </w:r>
      <w:r w:rsidRPr="001A6DFD">
        <w:t xml:space="preserve"> which is summarised in </w:t>
      </w:r>
      <w:r w:rsidR="00AF32F2">
        <w:t>S</w:t>
      </w:r>
      <w:r w:rsidR="00AF32F2" w:rsidRPr="001C01B2">
        <w:t xml:space="preserve">ection </w:t>
      </w:r>
      <w:r>
        <w:t>2 of this report</w:t>
      </w:r>
      <w:r w:rsidRPr="001A6DFD">
        <w:t>. The assessment concluded that the addition of 2</w:t>
      </w:r>
      <w:r>
        <w:t>′</w:t>
      </w:r>
      <w:r w:rsidRPr="001A6DFD">
        <w:t>-FL</w:t>
      </w:r>
      <w:r>
        <w:t xml:space="preserve">, in powder or liquid form, </w:t>
      </w:r>
      <w:r w:rsidRPr="001A6DFD">
        <w:t xml:space="preserve">to </w:t>
      </w:r>
      <w:r>
        <w:t>IFP</w:t>
      </w:r>
      <w:r w:rsidRPr="001A6DFD">
        <w:t xml:space="preserve"> and </w:t>
      </w:r>
      <w:r w:rsidRPr="006D7863">
        <w:t xml:space="preserve">FSFYC </w:t>
      </w:r>
      <w:r w:rsidRPr="006D7863" w:rsidDel="00CA3B49">
        <w:t xml:space="preserve">at </w:t>
      </w:r>
      <w:r>
        <w:t>concentrations up to</w:t>
      </w:r>
      <w:r w:rsidRPr="006D7863">
        <w:t xml:space="preserve"> 2.4 g/L</w:t>
      </w:r>
      <w:r w:rsidR="00DE5CC1">
        <w:t xml:space="preserve"> is safe. </w:t>
      </w:r>
    </w:p>
    <w:p w14:paraId="2232D0B1" w14:textId="65483AE6" w:rsidR="00A7422F" w:rsidRDefault="00A7422F" w:rsidP="00510B7A">
      <w:pPr>
        <w:widowControl/>
        <w:spacing w:before="120" w:after="120"/>
      </w:pPr>
      <w:r>
        <w:lastRenderedPageBreak/>
        <w:t xml:space="preserve">For the reasons explained in </w:t>
      </w:r>
      <w:r w:rsidR="00545AFF">
        <w:t xml:space="preserve">Section </w:t>
      </w:r>
      <w:r>
        <w:t>3</w:t>
      </w:r>
      <w:r w:rsidR="00545AFF">
        <w:t xml:space="preserve"> of this report</w:t>
      </w:r>
      <w:r>
        <w:t>, FSANZ</w:t>
      </w:r>
      <w:r w:rsidR="0008366D">
        <w:t xml:space="preserve"> decision </w:t>
      </w:r>
      <w:r>
        <w:t xml:space="preserve">was to </w:t>
      </w:r>
      <w:r w:rsidR="0008366D">
        <w:t xml:space="preserve">not </w:t>
      </w:r>
      <w:r>
        <w:t xml:space="preserve">permit </w:t>
      </w:r>
      <w:r w:rsidRPr="00893334">
        <w:t>2′-FL</w:t>
      </w:r>
      <w:r>
        <w:t xml:space="preserve"> in FSFYC.</w:t>
      </w:r>
    </w:p>
    <w:p w14:paraId="127CD3F8" w14:textId="2E516322" w:rsidR="00A7422F" w:rsidRPr="00246EBF" w:rsidRDefault="00A7422F" w:rsidP="00246EBF">
      <w:pPr>
        <w:pStyle w:val="ListParagraph"/>
        <w:numPr>
          <w:ilvl w:val="0"/>
          <w:numId w:val="25"/>
        </w:numPr>
        <w:rPr>
          <w:b/>
        </w:rPr>
      </w:pPr>
      <w:bookmarkStart w:id="154" w:name="_Toc73104843"/>
      <w:bookmarkStart w:id="155" w:name="_Toc77338792"/>
      <w:r w:rsidRPr="00246EBF">
        <w:rPr>
          <w:b/>
        </w:rPr>
        <w:t>The provision of adequate information relating to food to enable consumers to make informed choices</w:t>
      </w:r>
      <w:bookmarkEnd w:id="152"/>
      <w:bookmarkEnd w:id="153"/>
      <w:bookmarkEnd w:id="154"/>
      <w:bookmarkEnd w:id="155"/>
    </w:p>
    <w:p w14:paraId="59DC9760" w14:textId="507F7B33" w:rsidR="00A7422F" w:rsidRPr="003B1DB4" w:rsidRDefault="00A7422F" w:rsidP="00510B7A">
      <w:pPr>
        <w:widowControl/>
        <w:spacing w:before="120" w:after="120"/>
      </w:pPr>
      <w:r w:rsidRPr="003B1DB4">
        <w:t>C</w:t>
      </w:r>
      <w:r>
        <w:t xml:space="preserve">urrent labelling requirements discussed in </w:t>
      </w:r>
      <w:r w:rsidR="00FC54C6">
        <w:t>S</w:t>
      </w:r>
      <w:r w:rsidR="00FC54C6" w:rsidRPr="004424CC">
        <w:t xml:space="preserve">ection </w:t>
      </w:r>
      <w:r w:rsidRPr="004424CC">
        <w:t>3.</w:t>
      </w:r>
      <w:r>
        <w:t xml:space="preserve">2 </w:t>
      </w:r>
      <w:r w:rsidR="00FC54C6">
        <w:t xml:space="preserve">of this report </w:t>
      </w:r>
      <w:r>
        <w:t xml:space="preserve">would apply to the applicant’s </w:t>
      </w:r>
      <w:r w:rsidRPr="003B1DB4">
        <w:t>2′-FL</w:t>
      </w:r>
      <w:r>
        <w:t xml:space="preserve"> when added to IFP and would provide information to enable consumers to make an informed choice.</w:t>
      </w:r>
    </w:p>
    <w:p w14:paraId="7EA8263F" w14:textId="642CCEDA" w:rsidR="00A7422F" w:rsidRPr="00246EBF" w:rsidRDefault="00A7422F" w:rsidP="00246EBF">
      <w:pPr>
        <w:pStyle w:val="ListParagraph"/>
        <w:numPr>
          <w:ilvl w:val="0"/>
          <w:numId w:val="25"/>
        </w:numPr>
        <w:rPr>
          <w:b/>
        </w:rPr>
      </w:pPr>
      <w:bookmarkStart w:id="156" w:name="_Toc300761900"/>
      <w:bookmarkStart w:id="157" w:name="_Toc300933443"/>
      <w:bookmarkStart w:id="158" w:name="_Toc73104844"/>
      <w:bookmarkStart w:id="159" w:name="_Toc77338793"/>
      <w:r w:rsidRPr="00246EBF">
        <w:rPr>
          <w:b/>
        </w:rPr>
        <w:t>The prevention of misleading or deceptive conduct</w:t>
      </w:r>
      <w:bookmarkEnd w:id="156"/>
      <w:bookmarkEnd w:id="157"/>
      <w:bookmarkEnd w:id="158"/>
      <w:bookmarkEnd w:id="159"/>
    </w:p>
    <w:p w14:paraId="13D04011" w14:textId="51087C7A" w:rsidR="00A7422F" w:rsidRDefault="00A7422F" w:rsidP="00510B7A">
      <w:pPr>
        <w:widowControl/>
        <w:spacing w:before="120" w:after="120"/>
        <w:rPr>
          <w:rFonts w:cs="Arial"/>
          <w:szCs w:val="22"/>
        </w:rPr>
      </w:pPr>
      <w:bookmarkStart w:id="160" w:name="_Toc300761901"/>
      <w:bookmarkStart w:id="161" w:name="_Toc300933444"/>
      <w:r w:rsidRPr="003E7621">
        <w:rPr>
          <w:rFonts w:cs="Arial"/>
          <w:szCs w:val="22"/>
        </w:rPr>
        <w:t>Current labelling requirements</w:t>
      </w:r>
      <w:r>
        <w:rPr>
          <w:rFonts w:cs="Arial"/>
          <w:szCs w:val="22"/>
        </w:rPr>
        <w:t xml:space="preserve">, including prohibited representations described in </w:t>
      </w:r>
      <w:r w:rsidR="00FC54C6">
        <w:rPr>
          <w:rFonts w:cs="Arial"/>
          <w:szCs w:val="22"/>
        </w:rPr>
        <w:t>S</w:t>
      </w:r>
      <w:r w:rsidRPr="004424CC">
        <w:rPr>
          <w:rFonts w:cs="Arial"/>
          <w:szCs w:val="22"/>
        </w:rPr>
        <w:t>ection</w:t>
      </w:r>
      <w:r w:rsidR="008A328A">
        <w:rPr>
          <w:rFonts w:cs="Arial"/>
          <w:szCs w:val="22"/>
        </w:rPr>
        <w:t>s</w:t>
      </w:r>
      <w:r w:rsidRPr="004424CC">
        <w:rPr>
          <w:rFonts w:cs="Arial"/>
          <w:szCs w:val="22"/>
        </w:rPr>
        <w:t xml:space="preserve"> 3.2.3</w:t>
      </w:r>
      <w:r w:rsidR="00FC54C6">
        <w:rPr>
          <w:rFonts w:cs="Arial"/>
          <w:szCs w:val="22"/>
        </w:rPr>
        <w:t xml:space="preserve"> </w:t>
      </w:r>
      <w:r w:rsidR="008A328A">
        <w:rPr>
          <w:rFonts w:cs="Arial"/>
          <w:szCs w:val="22"/>
        </w:rPr>
        <w:t xml:space="preserve">and 3.2.4 </w:t>
      </w:r>
      <w:r w:rsidR="00FC54C6">
        <w:rPr>
          <w:rFonts w:cs="Arial"/>
          <w:szCs w:val="22"/>
        </w:rPr>
        <w:t>of this report</w:t>
      </w:r>
      <w:r w:rsidRPr="004424CC">
        <w:rPr>
          <w:rFonts w:cs="Arial"/>
          <w:szCs w:val="22"/>
        </w:rPr>
        <w:t>,</w:t>
      </w:r>
      <w:r>
        <w:rPr>
          <w:rFonts w:cs="Arial"/>
          <w:szCs w:val="22"/>
        </w:rPr>
        <w:t xml:space="preserve"> which </w:t>
      </w:r>
      <w:r w:rsidRPr="003E7621">
        <w:rPr>
          <w:rFonts w:cs="Arial"/>
          <w:szCs w:val="22"/>
        </w:rPr>
        <w:t xml:space="preserve">aim to prevent misleading or deceptive conduct, would apply to </w:t>
      </w:r>
      <w:r>
        <w:rPr>
          <w:rFonts w:cs="Arial"/>
          <w:szCs w:val="22"/>
        </w:rPr>
        <w:t xml:space="preserve">the applicant’s </w:t>
      </w:r>
      <w:r w:rsidRPr="003E7621">
        <w:t>2′-FL when added</w:t>
      </w:r>
      <w:r w:rsidRPr="003E7621">
        <w:rPr>
          <w:rFonts w:cs="Arial"/>
          <w:szCs w:val="22"/>
        </w:rPr>
        <w:t xml:space="preserve"> to </w:t>
      </w:r>
      <w:r>
        <w:t>IFP</w:t>
      </w:r>
      <w:r>
        <w:rPr>
          <w:rFonts w:cs="Arial"/>
          <w:szCs w:val="22"/>
        </w:rPr>
        <w:t>.</w:t>
      </w:r>
    </w:p>
    <w:p w14:paraId="37368559" w14:textId="644F98D5" w:rsidR="00A7422F" w:rsidRPr="00DE5CC1" w:rsidRDefault="00246EBF" w:rsidP="00DE5CC1">
      <w:pPr>
        <w:pStyle w:val="Heading2"/>
      </w:pPr>
      <w:bookmarkStart w:id="162" w:name="_Toc73104845"/>
      <w:bookmarkStart w:id="163" w:name="_Toc77338794"/>
      <w:bookmarkStart w:id="164" w:name="_Toc81995113"/>
      <w:r>
        <w:t>5</w:t>
      </w:r>
      <w:r w:rsidR="00A7422F" w:rsidRPr="00DE5CC1">
        <w:t>.3</w:t>
      </w:r>
      <w:r w:rsidR="00A7422F" w:rsidRPr="00DE5CC1">
        <w:tab/>
        <w:t>Subsection 18(2)</w:t>
      </w:r>
      <w:bookmarkEnd w:id="160"/>
      <w:bookmarkEnd w:id="161"/>
      <w:bookmarkEnd w:id="162"/>
      <w:bookmarkEnd w:id="163"/>
      <w:bookmarkEnd w:id="164"/>
    </w:p>
    <w:p w14:paraId="295D81B0" w14:textId="6D86D010" w:rsidR="00A7422F" w:rsidRPr="00914030" w:rsidRDefault="00DE5CC1" w:rsidP="00510B7A">
      <w:pPr>
        <w:widowControl/>
        <w:spacing w:before="120" w:after="120"/>
        <w:rPr>
          <w:rFonts w:cs="Arial"/>
        </w:rPr>
      </w:pPr>
      <w:r>
        <w:rPr>
          <w:rFonts w:cs="Arial"/>
        </w:rPr>
        <w:t>FSANZ has also had regard to:</w:t>
      </w:r>
    </w:p>
    <w:p w14:paraId="094EA716" w14:textId="4CB3C686" w:rsidR="00A7422F" w:rsidRPr="00DE5CC1" w:rsidRDefault="00A7422F" w:rsidP="00510B7A">
      <w:pPr>
        <w:pStyle w:val="FSBullet1"/>
        <w:numPr>
          <w:ilvl w:val="0"/>
          <w:numId w:val="10"/>
        </w:numPr>
        <w:spacing w:before="120" w:after="120"/>
        <w:ind w:left="567" w:hanging="567"/>
        <w:rPr>
          <w:b/>
        </w:rPr>
      </w:pPr>
      <w:r w:rsidRPr="008828D9">
        <w:rPr>
          <w:b/>
        </w:rPr>
        <w:t>the need for standards to be based on risk analysis using the best available scientific evidence</w:t>
      </w:r>
    </w:p>
    <w:p w14:paraId="42FCD33E" w14:textId="279D282F" w:rsidR="00A560AA" w:rsidRPr="008828D9" w:rsidRDefault="00A7422F" w:rsidP="00510B7A">
      <w:pPr>
        <w:widowControl/>
        <w:spacing w:before="120" w:after="120"/>
      </w:pPr>
      <w:r w:rsidRPr="00B224B6">
        <w:t>FSANZ used the risk analysis framework and considered the best available evidence to reach its conclusion</w:t>
      </w:r>
      <w:r>
        <w:t xml:space="preserve">s on the safety, technical and beneficial health outcomes of the applicant’s </w:t>
      </w:r>
      <w:r w:rsidRPr="00FD4EC3">
        <w:t>2′-FL</w:t>
      </w:r>
      <w:r w:rsidRPr="00B224B6">
        <w:t xml:space="preserve">. </w:t>
      </w:r>
      <w:r w:rsidRPr="00087609">
        <w:t xml:space="preserve">The applicant submitted a dossier of scientific </w:t>
      </w:r>
      <w:r w:rsidRPr="003E7621">
        <w:t>studies</w:t>
      </w:r>
      <w:r>
        <w:t>, and FSANZ was</w:t>
      </w:r>
      <w:r w:rsidR="00A560AA">
        <w:t xml:space="preserve"> also</w:t>
      </w:r>
      <w:r>
        <w:t xml:space="preserve"> able to draw on conclusions from previous assessments undertaken for application A1155</w:t>
      </w:r>
      <w:r w:rsidRPr="003E7621">
        <w:t>. Other relevant information including scientific literature was also</w:t>
      </w:r>
      <w:r>
        <w:t xml:space="preserve"> identified through a literature review and</w:t>
      </w:r>
      <w:r w:rsidRPr="003E7621">
        <w:t xml:space="preserve"> used in assessing </w:t>
      </w:r>
      <w:r w:rsidR="005F1E79">
        <w:t>the Application</w:t>
      </w:r>
      <w:r w:rsidRPr="003E7621">
        <w:t xml:space="preserve">. </w:t>
      </w:r>
      <w:r>
        <w:t xml:space="preserve">During the assessment </w:t>
      </w:r>
      <w:r w:rsidR="00A560AA">
        <w:t xml:space="preserve">FSANZ requested </w:t>
      </w:r>
      <w:r>
        <w:t xml:space="preserve">the </w:t>
      </w:r>
      <w:r w:rsidRPr="003E7621">
        <w:t xml:space="preserve">applicant provide any </w:t>
      </w:r>
      <w:r w:rsidR="00A560AA">
        <w:t xml:space="preserve">further </w:t>
      </w:r>
      <w:r w:rsidRPr="003E7621">
        <w:t xml:space="preserve">additional </w:t>
      </w:r>
      <w:r>
        <w:t xml:space="preserve">evidence on the safety or beneficial health effects of their </w:t>
      </w:r>
      <w:r w:rsidRPr="00FD4EC3">
        <w:t>2′-FL</w:t>
      </w:r>
      <w:r w:rsidR="00A560AA">
        <w:t>, specifically in the young child population</w:t>
      </w:r>
      <w:r w:rsidRPr="003E7621">
        <w:t>. This ensure</w:t>
      </w:r>
      <w:r w:rsidR="00A560AA">
        <w:t>d</w:t>
      </w:r>
      <w:r w:rsidRPr="003E7621">
        <w:t xml:space="preserve"> the assessment was based on the </w:t>
      </w:r>
      <w:r>
        <w:t xml:space="preserve">most current and </w:t>
      </w:r>
      <w:r w:rsidRPr="003E7621">
        <w:t>best available evidence.</w:t>
      </w:r>
      <w:r>
        <w:t xml:space="preserve"> </w:t>
      </w:r>
      <w:r w:rsidR="00B76866">
        <w:t>F</w:t>
      </w:r>
      <w:r>
        <w:t>u</w:t>
      </w:r>
      <w:r w:rsidR="00DE5CC1">
        <w:t xml:space="preserve">rther </w:t>
      </w:r>
      <w:r w:rsidR="00B76866">
        <w:t xml:space="preserve">studies </w:t>
      </w:r>
      <w:r w:rsidR="00DE5CC1">
        <w:t>provided</w:t>
      </w:r>
      <w:r w:rsidR="00B76866">
        <w:t xml:space="preserve"> during the call for submissions have been reviewed</w:t>
      </w:r>
      <w:r w:rsidR="00DE5CC1">
        <w:t>.</w:t>
      </w:r>
      <w:r w:rsidR="00B76866">
        <w:t xml:space="preserve"> </w:t>
      </w:r>
      <w:r w:rsidR="00A560AA">
        <w:t xml:space="preserve">These were not sufficient to </w:t>
      </w:r>
      <w:r w:rsidR="00A560AA">
        <w:rPr>
          <w:lang w:val="en-AU"/>
        </w:rPr>
        <w:t>change FSANZ’s conclusions.</w:t>
      </w:r>
    </w:p>
    <w:p w14:paraId="1166A196" w14:textId="77777777" w:rsidR="00A7422F" w:rsidRPr="008828D9" w:rsidRDefault="00A7422F" w:rsidP="00510B7A">
      <w:pPr>
        <w:pStyle w:val="FSBullet1"/>
        <w:numPr>
          <w:ilvl w:val="0"/>
          <w:numId w:val="10"/>
        </w:numPr>
        <w:spacing w:before="120" w:after="120"/>
        <w:ind w:left="567" w:hanging="567"/>
        <w:rPr>
          <w:b/>
        </w:rPr>
      </w:pPr>
      <w:r w:rsidRPr="008828D9">
        <w:rPr>
          <w:b/>
        </w:rPr>
        <w:t>the promotion of consistency between domestic and international food standards</w:t>
      </w:r>
    </w:p>
    <w:p w14:paraId="3F1586E0" w14:textId="5FEC0333" w:rsidR="00A7422F" w:rsidRDefault="00A7422F" w:rsidP="00DE5CC1">
      <w:pPr>
        <w:widowControl/>
        <w:spacing w:before="120" w:after="120"/>
      </w:pPr>
      <w:r w:rsidRPr="007313CD">
        <w:t>FSANZ considered the promotion of consistency between domestic and international food standards and the desirability of an efficient and internatio</w:t>
      </w:r>
      <w:r>
        <w:t xml:space="preserve">nally competitive food industry. </w:t>
      </w:r>
      <w:r w:rsidRPr="00B224B6">
        <w:t xml:space="preserve">As discussed in </w:t>
      </w:r>
      <w:r w:rsidR="00737B9C">
        <w:t>S</w:t>
      </w:r>
      <w:r w:rsidR="00737B9C" w:rsidRPr="00DA1513">
        <w:t xml:space="preserve">ection </w:t>
      </w:r>
      <w:r w:rsidRPr="00DA1513">
        <w:t>1.3.2</w:t>
      </w:r>
      <w:r w:rsidR="00737B9C">
        <w:t xml:space="preserve"> of this report</w:t>
      </w:r>
      <w:r w:rsidR="00B76866">
        <w:t>,</w:t>
      </w:r>
      <w:r w:rsidRPr="00B224B6">
        <w:t xml:space="preserve"> </w:t>
      </w:r>
      <w:r>
        <w:t>2′-FL</w:t>
      </w:r>
      <w:r w:rsidRPr="00B224B6">
        <w:t xml:space="preserve"> </w:t>
      </w:r>
      <w:r>
        <w:t>is</w:t>
      </w:r>
      <w:r w:rsidRPr="00B224B6">
        <w:t xml:space="preserve"> permitted </w:t>
      </w:r>
      <w:r w:rsidR="00B76866">
        <w:t>in other countries. Permissions are for equivalent IFP</w:t>
      </w:r>
      <w:r w:rsidR="00B76866" w:rsidRPr="00B224B6">
        <w:t xml:space="preserve"> </w:t>
      </w:r>
      <w:r w:rsidR="00B76866" w:rsidRPr="00B224B6" w:rsidDel="00CA3B49">
        <w:t xml:space="preserve">and </w:t>
      </w:r>
      <w:r w:rsidR="00B76866" w:rsidDel="00CA3B49">
        <w:t>FSFYC</w:t>
      </w:r>
      <w:r w:rsidR="00B76866">
        <w:t xml:space="preserve"> (and other foods)</w:t>
      </w:r>
      <w:r w:rsidR="00B76866" w:rsidRPr="00B224B6">
        <w:t xml:space="preserve"> </w:t>
      </w:r>
      <w:r w:rsidRPr="00B224B6">
        <w:t>for use</w:t>
      </w:r>
      <w:r>
        <w:t xml:space="preserve"> alone or in combination with LNnT</w:t>
      </w:r>
      <w:r w:rsidR="00B76866">
        <w:t>; including at a</w:t>
      </w:r>
      <w:r>
        <w:t xml:space="preserve"> range of levels and with country-specific labelling requirements</w:t>
      </w:r>
      <w:r w:rsidRPr="00B224B6">
        <w:t xml:space="preserve">. </w:t>
      </w:r>
    </w:p>
    <w:p w14:paraId="37E4183E" w14:textId="33AA64A7" w:rsidR="00A7422F" w:rsidRPr="008828D9" w:rsidRDefault="00A7422F" w:rsidP="00510B7A">
      <w:pPr>
        <w:widowControl/>
        <w:spacing w:before="120" w:after="120"/>
        <w:rPr>
          <w:lang w:bidi="ar-SA"/>
        </w:rPr>
      </w:pPr>
      <w:r w:rsidRPr="00C16F80">
        <w:t>FSANZ consider</w:t>
      </w:r>
      <w:r w:rsidR="00374C1A">
        <w:t>ed</w:t>
      </w:r>
      <w:r w:rsidRPr="00C16F80">
        <w:t xml:space="preserve"> that the permission to add the applicant’s 2′-FL to IFP would contrib</w:t>
      </w:r>
      <w:r>
        <w:t>u</w:t>
      </w:r>
      <w:r w:rsidRPr="00C16F80">
        <w:t xml:space="preserve">te to the consistency between domestic and international food standards. For the reasons explained </w:t>
      </w:r>
      <w:r w:rsidR="002959AD">
        <w:t xml:space="preserve">under </w:t>
      </w:r>
      <w:r w:rsidR="007D52AE">
        <w:t xml:space="preserve">Section </w:t>
      </w:r>
      <w:r w:rsidR="002959AD">
        <w:t>3</w:t>
      </w:r>
      <w:r w:rsidR="007D52AE">
        <w:t xml:space="preserve"> of this report</w:t>
      </w:r>
      <w:r w:rsidRPr="00C16F80">
        <w:t xml:space="preserve">, FSANZ </w:t>
      </w:r>
      <w:r w:rsidR="002959AD">
        <w:t>decided</w:t>
      </w:r>
      <w:r w:rsidRPr="00C16F80">
        <w:t xml:space="preserve"> not to permit the addition of </w:t>
      </w:r>
      <w:r w:rsidR="002959AD">
        <w:t>the applicant</w:t>
      </w:r>
      <w:r w:rsidR="00374C1A">
        <w:t>’</w:t>
      </w:r>
      <w:r w:rsidR="002959AD">
        <w:t xml:space="preserve">s </w:t>
      </w:r>
      <w:r w:rsidRPr="00C16F80">
        <w:t xml:space="preserve">2′-FL to FSFYC. </w:t>
      </w:r>
      <w:r w:rsidR="002959AD">
        <w:t xml:space="preserve">This </w:t>
      </w:r>
      <w:r w:rsidR="00EE349D">
        <w:t>approach</w:t>
      </w:r>
      <w:r w:rsidR="00EE349D" w:rsidRPr="00C16F80">
        <w:t xml:space="preserve"> </w:t>
      </w:r>
      <w:r w:rsidRPr="00C16F80">
        <w:t>is consistent with current permissions in the Code.</w:t>
      </w:r>
    </w:p>
    <w:p w14:paraId="67FF937A" w14:textId="3DFCA1B6" w:rsidR="00A7422F" w:rsidRPr="00DE5CC1" w:rsidRDefault="00A7422F" w:rsidP="00510B7A">
      <w:pPr>
        <w:pStyle w:val="FSBullet1"/>
        <w:numPr>
          <w:ilvl w:val="0"/>
          <w:numId w:val="10"/>
        </w:numPr>
        <w:spacing w:before="120" w:after="120"/>
        <w:ind w:left="567" w:hanging="567"/>
        <w:rPr>
          <w:b/>
        </w:rPr>
      </w:pPr>
      <w:r w:rsidRPr="008828D9">
        <w:rPr>
          <w:b/>
        </w:rPr>
        <w:t>the desirability of an efficient and internationally competitive food industry</w:t>
      </w:r>
    </w:p>
    <w:p w14:paraId="1BE715CE" w14:textId="1B2E935D" w:rsidR="00A7422F" w:rsidRDefault="00A7422F" w:rsidP="00510B7A">
      <w:pPr>
        <w:widowControl/>
        <w:spacing w:before="120" w:after="120"/>
      </w:pPr>
      <w:r>
        <w:t xml:space="preserve">The permission </w:t>
      </w:r>
      <w:r w:rsidR="00920587" w:rsidRPr="00C16F80">
        <w:t xml:space="preserve">to add the applicant’s 2′-FL to IFP </w:t>
      </w:r>
      <w:r>
        <w:t>would support</w:t>
      </w:r>
      <w:r w:rsidRPr="00B21422">
        <w:t xml:space="preserve"> an internationally competitive food industry</w:t>
      </w:r>
      <w:r>
        <w:t xml:space="preserve"> in relation to the addition of 2′-FL to IFP, and is consistent with existing permissions in the Code for 2′-FL</w:t>
      </w:r>
      <w:r w:rsidR="002959AD">
        <w:t>.</w:t>
      </w:r>
    </w:p>
    <w:p w14:paraId="231B6C9C" w14:textId="39451F9D" w:rsidR="00A7422F" w:rsidRPr="00DE5CC1" w:rsidRDefault="00A7422F" w:rsidP="00510B7A">
      <w:pPr>
        <w:pStyle w:val="FSBullet1"/>
        <w:numPr>
          <w:ilvl w:val="0"/>
          <w:numId w:val="10"/>
        </w:numPr>
        <w:spacing w:before="120" w:after="120"/>
        <w:ind w:left="567" w:hanging="567"/>
        <w:rPr>
          <w:b/>
        </w:rPr>
      </w:pPr>
      <w:r w:rsidRPr="008828D9">
        <w:rPr>
          <w:b/>
        </w:rPr>
        <w:t>the promotion of fair trading in food</w:t>
      </w:r>
    </w:p>
    <w:p w14:paraId="7A727BDA" w14:textId="77777777" w:rsidR="00374C1A" w:rsidRPr="00C24193" w:rsidRDefault="00374C1A" w:rsidP="00877592">
      <w:pPr>
        <w:widowControl/>
        <w:jc w:val="both"/>
        <w:rPr>
          <w:szCs w:val="22"/>
        </w:rPr>
      </w:pPr>
      <w:r w:rsidRPr="00C24193">
        <w:rPr>
          <w:szCs w:val="22"/>
        </w:rPr>
        <w:t>No issues were identified for this application relevant to this objective.</w:t>
      </w:r>
    </w:p>
    <w:p w14:paraId="1933120F" w14:textId="62925391" w:rsidR="00A7422F" w:rsidRPr="002C1A3B" w:rsidRDefault="00A7422F" w:rsidP="00510B7A">
      <w:pPr>
        <w:pStyle w:val="FSBullet1"/>
        <w:numPr>
          <w:ilvl w:val="0"/>
          <w:numId w:val="10"/>
        </w:numPr>
        <w:spacing w:before="120" w:after="120"/>
        <w:ind w:left="567" w:hanging="567"/>
      </w:pPr>
      <w:r w:rsidRPr="008828D9">
        <w:rPr>
          <w:b/>
        </w:rPr>
        <w:t xml:space="preserve">any written policy guidelines formulated by the </w:t>
      </w:r>
      <w:r w:rsidR="00C24193">
        <w:rPr>
          <w:b/>
        </w:rPr>
        <w:t>Food Ministers’ Meeting</w:t>
      </w:r>
    </w:p>
    <w:p w14:paraId="57488FF5" w14:textId="64B0DB57" w:rsidR="00A7422F" w:rsidRDefault="00A7422F" w:rsidP="00510B7A">
      <w:pPr>
        <w:widowControl/>
        <w:autoSpaceDE w:val="0"/>
        <w:autoSpaceDN w:val="0"/>
        <w:adjustRightInd w:val="0"/>
        <w:spacing w:before="120" w:after="120"/>
      </w:pPr>
      <w:r>
        <w:lastRenderedPageBreak/>
        <w:t xml:space="preserve">FSANZ </w:t>
      </w:r>
      <w:r>
        <w:rPr>
          <w:szCs w:val="22"/>
        </w:rPr>
        <w:t>had regard to both high order and specific policy principles in relevant Ministerial Policy Guidelines.</w:t>
      </w:r>
      <w:r>
        <w:t xml:space="preserve"> Two</w:t>
      </w:r>
      <w:r w:rsidRPr="00BF53F9">
        <w:t xml:space="preserve"> Ministerial Policy Guideline</w:t>
      </w:r>
      <w:r>
        <w:t>s specifically appl</w:t>
      </w:r>
      <w:r w:rsidR="00706408">
        <w:t>ied</w:t>
      </w:r>
      <w:r>
        <w:t xml:space="preserve"> to this application:</w:t>
      </w:r>
    </w:p>
    <w:p w14:paraId="15C780EC" w14:textId="77777777" w:rsidR="00A7422F" w:rsidRDefault="00A7422F" w:rsidP="00510B7A">
      <w:pPr>
        <w:pStyle w:val="ListParagraph"/>
        <w:widowControl/>
        <w:numPr>
          <w:ilvl w:val="0"/>
          <w:numId w:val="14"/>
        </w:numPr>
        <w:spacing w:before="120" w:after="120"/>
        <w:ind w:left="714" w:hanging="357"/>
        <w:contextualSpacing w:val="0"/>
      </w:pPr>
      <w:r w:rsidRPr="00B10359">
        <w:t>Regulation of Infant Formula Products</w:t>
      </w:r>
      <w:r>
        <w:t xml:space="preserve"> </w:t>
      </w:r>
    </w:p>
    <w:p w14:paraId="053F67BC" w14:textId="69815653" w:rsidR="00A7422F" w:rsidRDefault="00A7422F" w:rsidP="00510B7A">
      <w:pPr>
        <w:pStyle w:val="ListParagraph"/>
        <w:widowControl/>
        <w:numPr>
          <w:ilvl w:val="0"/>
          <w:numId w:val="14"/>
        </w:numPr>
        <w:spacing w:before="120" w:after="120"/>
        <w:ind w:left="714" w:hanging="357"/>
        <w:contextualSpacing w:val="0"/>
      </w:pPr>
      <w:r w:rsidRPr="00B10359">
        <w:t xml:space="preserve">Intent of Part 2.9 </w:t>
      </w:r>
      <w:r w:rsidR="00706408">
        <w:t xml:space="preserve">of the Food Standards Code </w:t>
      </w:r>
      <w:r w:rsidRPr="00B10359">
        <w:t>– Special Purpose Foods</w:t>
      </w:r>
    </w:p>
    <w:p w14:paraId="619496E8" w14:textId="35818578" w:rsidR="002959AD" w:rsidRDefault="00A7422F" w:rsidP="00DD33BF">
      <w:pPr>
        <w:widowControl/>
        <w:spacing w:before="120" w:after="120"/>
        <w:rPr>
          <w:rFonts w:cs="Arial"/>
        </w:rPr>
      </w:pPr>
      <w:r>
        <w:rPr>
          <w:lang w:bidi="ar-SA"/>
        </w:rPr>
        <w:t>FSANZ consider</w:t>
      </w:r>
      <w:r w:rsidR="00C24193">
        <w:rPr>
          <w:lang w:bidi="ar-SA"/>
        </w:rPr>
        <w:t>ed</w:t>
      </w:r>
      <w:r>
        <w:rPr>
          <w:lang w:bidi="ar-SA"/>
        </w:rPr>
        <w:t xml:space="preserve"> that through the permission for </w:t>
      </w:r>
      <w:r w:rsidRPr="00C16F80">
        <w:t>2′-FL</w:t>
      </w:r>
      <w:r>
        <w:rPr>
          <w:lang w:bidi="ar-SA"/>
        </w:rPr>
        <w:t xml:space="preserve"> to be added to IFP, these </w:t>
      </w:r>
      <w:r w:rsidR="00C24193">
        <w:rPr>
          <w:lang w:bidi="ar-SA"/>
        </w:rPr>
        <w:t>P</w:t>
      </w:r>
      <w:r w:rsidR="00FF55BA">
        <w:rPr>
          <w:lang w:bidi="ar-SA"/>
        </w:rPr>
        <w:t xml:space="preserve">olicy </w:t>
      </w:r>
      <w:r w:rsidR="00C24193">
        <w:rPr>
          <w:lang w:bidi="ar-SA"/>
        </w:rPr>
        <w:t>G</w:t>
      </w:r>
      <w:r w:rsidR="00FF55BA">
        <w:rPr>
          <w:lang w:bidi="ar-SA"/>
        </w:rPr>
        <w:t>uidelines have been met.</w:t>
      </w:r>
      <w:bookmarkStart w:id="165" w:name="_Toc11735643"/>
      <w:bookmarkStart w:id="166" w:name="_Toc29883130"/>
      <w:bookmarkStart w:id="167" w:name="_Toc41906817"/>
      <w:bookmarkStart w:id="168" w:name="_Toc41907564"/>
      <w:bookmarkStart w:id="169" w:name="_Toc43112360"/>
      <w:bookmarkEnd w:id="130"/>
      <w:r w:rsidR="002959AD">
        <w:rPr>
          <w:rFonts w:cs="Arial"/>
        </w:rPr>
        <w:br w:type="page"/>
      </w:r>
    </w:p>
    <w:p w14:paraId="67FE7B97" w14:textId="028E8CD2" w:rsidR="00A7422F" w:rsidRPr="00613231" w:rsidRDefault="000E1758" w:rsidP="00510B7A">
      <w:pPr>
        <w:pStyle w:val="Heading1"/>
        <w:widowControl/>
        <w:spacing w:before="120" w:after="120"/>
      </w:pPr>
      <w:bookmarkStart w:id="170" w:name="_Toc300933452"/>
      <w:bookmarkStart w:id="171" w:name="_Toc73104847"/>
      <w:bookmarkStart w:id="172" w:name="_Toc77338796"/>
      <w:bookmarkStart w:id="173" w:name="_Toc81995115"/>
      <w:r>
        <w:lastRenderedPageBreak/>
        <w:t>9</w:t>
      </w:r>
      <w:r w:rsidR="00A7422F" w:rsidRPr="00613231">
        <w:tab/>
        <w:t>R</w:t>
      </w:r>
      <w:bookmarkEnd w:id="170"/>
      <w:r w:rsidR="00A7422F" w:rsidRPr="00613231">
        <w:t>eferences</w:t>
      </w:r>
      <w:bookmarkEnd w:id="171"/>
      <w:bookmarkEnd w:id="172"/>
      <w:bookmarkEnd w:id="173"/>
    </w:p>
    <w:p w14:paraId="25127214" w14:textId="37F7C9E5" w:rsidR="00246EBF" w:rsidRPr="00246EBF" w:rsidRDefault="00246EBF" w:rsidP="00246EBF">
      <w:pPr>
        <w:widowControl/>
        <w:spacing w:before="120" w:after="120"/>
        <w:rPr>
          <w:sz w:val="20"/>
          <w:szCs w:val="20"/>
        </w:rPr>
      </w:pPr>
      <w:r w:rsidRPr="00246EBF">
        <w:rPr>
          <w:sz w:val="20"/>
          <w:szCs w:val="20"/>
        </w:rPr>
        <w:t xml:space="preserve">Akkerman R, Faas MM, and de Vos P (2019). Non-digestible </w:t>
      </w:r>
      <w:r>
        <w:rPr>
          <w:sz w:val="20"/>
          <w:szCs w:val="20"/>
        </w:rPr>
        <w:t xml:space="preserve">carbohydrates in infant formula </w:t>
      </w:r>
      <w:r w:rsidRPr="00246EBF">
        <w:rPr>
          <w:sz w:val="20"/>
          <w:szCs w:val="20"/>
        </w:rPr>
        <w:t>as substitution for human milk oligosaccharide functions</w:t>
      </w:r>
      <w:r>
        <w:rPr>
          <w:sz w:val="20"/>
          <w:szCs w:val="20"/>
        </w:rPr>
        <w:t xml:space="preserve">: Effects on microbiota and gut </w:t>
      </w:r>
      <w:r w:rsidRPr="00246EBF">
        <w:rPr>
          <w:sz w:val="20"/>
          <w:szCs w:val="20"/>
        </w:rPr>
        <w:t>maturation. Critical Reviews in Food Science and Nutrition 59 (9):1486–12. doi: 10.1080/</w:t>
      </w:r>
      <w:r>
        <w:rPr>
          <w:sz w:val="20"/>
          <w:szCs w:val="20"/>
        </w:rPr>
        <w:t xml:space="preserve">. </w:t>
      </w:r>
      <w:r w:rsidRPr="00384A4D">
        <w:rPr>
          <w:sz w:val="20"/>
          <w:szCs w:val="20"/>
        </w:rPr>
        <w:t>Accessed 3 September 2021.</w:t>
      </w:r>
    </w:p>
    <w:p w14:paraId="28D84977" w14:textId="6875A4FF" w:rsidR="00A7422F" w:rsidRPr="009E1BA3" w:rsidRDefault="00A7422F" w:rsidP="00246EBF">
      <w:pPr>
        <w:widowControl/>
        <w:spacing w:before="120" w:after="120"/>
        <w:rPr>
          <w:sz w:val="20"/>
          <w:szCs w:val="20"/>
        </w:rPr>
      </w:pPr>
      <w:r w:rsidRPr="009E1BA3">
        <w:rPr>
          <w:sz w:val="20"/>
          <w:szCs w:val="20"/>
        </w:rPr>
        <w:t xml:space="preserve">EU (2016) </w:t>
      </w:r>
      <w:hyperlink r:id="rId22" w:history="1">
        <w:r w:rsidRPr="009E1BA3">
          <w:rPr>
            <w:rStyle w:val="Hyperlink"/>
            <w:sz w:val="20"/>
            <w:szCs w:val="20"/>
          </w:rPr>
          <w:t>Commission Delegated Regulation</w:t>
        </w:r>
      </w:hyperlink>
      <w:r w:rsidRPr="009E1BA3">
        <w:rPr>
          <w:sz w:val="20"/>
          <w:szCs w:val="20"/>
        </w:rPr>
        <w:t xml:space="preserve"> (EU) 2016/127 of 25 September 2015 </w:t>
      </w:r>
      <w:r w:rsidRPr="009E1BA3">
        <w:rPr>
          <w:sz w:val="20"/>
          <w:szCs w:val="20"/>
          <w:lang w:val="en"/>
        </w:rPr>
        <w:t>supplementing Regulation (EU) No 609/2013 of the European Parliament and of the Council as regards the specific compositional and information requirements for infant formula and follow-on formula and as regards requirements on information relating to infant and young child feeding. Accessed 12 February 2020</w:t>
      </w:r>
    </w:p>
    <w:p w14:paraId="0C872C81" w14:textId="75B2AAF6" w:rsidR="00A7422F" w:rsidRPr="009E1BA3" w:rsidRDefault="00A7422F" w:rsidP="00510B7A">
      <w:pPr>
        <w:widowControl/>
        <w:spacing w:before="120" w:after="120"/>
        <w:rPr>
          <w:sz w:val="20"/>
          <w:szCs w:val="20"/>
        </w:rPr>
      </w:pPr>
      <w:r w:rsidRPr="009E1BA3">
        <w:rPr>
          <w:sz w:val="20"/>
          <w:szCs w:val="20"/>
        </w:rPr>
        <w:t xml:space="preserve">EU (2017) </w:t>
      </w:r>
      <w:hyperlink r:id="rId23" w:history="1">
        <w:r w:rsidRPr="009E1BA3">
          <w:rPr>
            <w:rStyle w:val="Hyperlink"/>
            <w:sz w:val="20"/>
            <w:szCs w:val="20"/>
          </w:rPr>
          <w:t>Commission Implementing Decision</w:t>
        </w:r>
      </w:hyperlink>
      <w:r w:rsidRPr="009E1BA3">
        <w:rPr>
          <w:sz w:val="20"/>
          <w:szCs w:val="20"/>
        </w:rPr>
        <w:t xml:space="preserve"> (EU) 2017/2201 of 27 November 2017 authorising the placing on the market of 2′-fucosyllactose produced with Escherichia coli strain BL21 as a novel food ingredient under Regulation (EC) No 258/97 of the European Parliament and of the Council (notified under document C(2017) 7662). Accessed </w:t>
      </w:r>
      <w:r w:rsidR="00D517D7">
        <w:rPr>
          <w:sz w:val="20"/>
          <w:szCs w:val="20"/>
        </w:rPr>
        <w:t>12</w:t>
      </w:r>
      <w:r w:rsidRPr="009E1BA3">
        <w:rPr>
          <w:sz w:val="20"/>
          <w:szCs w:val="20"/>
        </w:rPr>
        <w:t xml:space="preserve"> </w:t>
      </w:r>
      <w:r w:rsidR="00D517D7">
        <w:rPr>
          <w:sz w:val="20"/>
          <w:szCs w:val="20"/>
        </w:rPr>
        <w:t>February</w:t>
      </w:r>
      <w:r w:rsidRPr="009E1BA3">
        <w:rPr>
          <w:sz w:val="20"/>
          <w:szCs w:val="20"/>
        </w:rPr>
        <w:t xml:space="preserve"> 20</w:t>
      </w:r>
      <w:r w:rsidR="00D517D7">
        <w:rPr>
          <w:sz w:val="20"/>
          <w:szCs w:val="20"/>
        </w:rPr>
        <w:t>20</w:t>
      </w:r>
      <w:r w:rsidRPr="009E1BA3">
        <w:rPr>
          <w:sz w:val="20"/>
          <w:szCs w:val="20"/>
        </w:rPr>
        <w:t>.</w:t>
      </w:r>
    </w:p>
    <w:p w14:paraId="38C31546" w14:textId="77777777" w:rsidR="00A7422F" w:rsidRPr="009E1BA3" w:rsidRDefault="00A7422F" w:rsidP="00510B7A">
      <w:pPr>
        <w:widowControl/>
        <w:spacing w:before="120" w:after="120"/>
        <w:rPr>
          <w:sz w:val="20"/>
          <w:szCs w:val="20"/>
        </w:rPr>
      </w:pPr>
      <w:r w:rsidRPr="009E1BA3">
        <w:rPr>
          <w:sz w:val="20"/>
          <w:szCs w:val="20"/>
        </w:rPr>
        <w:t xml:space="preserve">EU (2018) </w:t>
      </w:r>
      <w:hyperlink r:id="rId24" w:history="1">
        <w:r w:rsidRPr="009E1BA3">
          <w:rPr>
            <w:rStyle w:val="Hyperlink"/>
            <w:sz w:val="20"/>
            <w:szCs w:val="20"/>
          </w:rPr>
          <w:t>Commission Implementing Regulation</w:t>
        </w:r>
      </w:hyperlink>
      <w:r w:rsidRPr="009E1BA3">
        <w:rPr>
          <w:sz w:val="20"/>
          <w:szCs w:val="20"/>
        </w:rPr>
        <w:t xml:space="preserve"> (EU) 2018/1023 of 23 July 2018 correcting Implementing Regulation (EU) 2017/2470 establishing the Union list of novel foods. Accessed 17 February 2020.</w:t>
      </w:r>
    </w:p>
    <w:p w14:paraId="51067831" w14:textId="77777777" w:rsidR="00384A4D" w:rsidRDefault="00384A4D" w:rsidP="00510B7A">
      <w:pPr>
        <w:widowControl/>
        <w:spacing w:before="120" w:after="120"/>
        <w:rPr>
          <w:sz w:val="20"/>
          <w:szCs w:val="20"/>
        </w:rPr>
      </w:pPr>
      <w:r w:rsidRPr="00384A4D">
        <w:rPr>
          <w:sz w:val="20"/>
          <w:szCs w:val="20"/>
        </w:rPr>
        <w:t>Fonvig CE, Amundsen ID, Vigsnæs LK, Sørensen N, Frithioff-Bøjsøe C, Christiansen M, Hedley PL, Holm LA, McConnell B, Holm JC (2021) Human Milk Oligosaccharides Moderate Fecal Microbiota and are Safe for Use in Children with Overweight: An RCT. Journal of Pediatric Gastroenterology and Nutrition, Publish Ahead of Print. DOI: 10.1097/MPG.0000000000003205. Accessed 3 September 2021.</w:t>
      </w:r>
    </w:p>
    <w:p w14:paraId="77CFEE53" w14:textId="77777777" w:rsidR="00384A4D" w:rsidRDefault="00384A4D" w:rsidP="00510B7A">
      <w:pPr>
        <w:widowControl/>
        <w:spacing w:before="120" w:after="120"/>
        <w:rPr>
          <w:sz w:val="20"/>
          <w:szCs w:val="20"/>
        </w:rPr>
      </w:pPr>
      <w:r w:rsidRPr="00384A4D">
        <w:rPr>
          <w:sz w:val="20"/>
          <w:szCs w:val="20"/>
        </w:rPr>
        <w:t>Iribarren C, Törnblom H, Aziz I, Magnusson MK, Sundin J, Vigsnaes LK, Amundsen ID, McConnell B, Seitzberg D, Öhman L, Simrén M (2020) Human milk oligosaccharide supplementation in irritable bowel syndrome patients: A parallel, randomized, double-blind, placebo-controlled study. Neurogastroenterology &amp; Motility;32:e13920. https://doi.org/10.1111/nmo.13920. Accessed 3 September 2021.</w:t>
      </w:r>
    </w:p>
    <w:p w14:paraId="4B6455E9" w14:textId="7420886D" w:rsidR="00246EBF" w:rsidRDefault="00246EBF" w:rsidP="00246EBF">
      <w:pPr>
        <w:widowControl/>
        <w:spacing w:before="120" w:after="120"/>
        <w:rPr>
          <w:sz w:val="20"/>
          <w:szCs w:val="20"/>
        </w:rPr>
      </w:pPr>
      <w:r w:rsidRPr="00246EBF">
        <w:rPr>
          <w:sz w:val="20"/>
          <w:szCs w:val="20"/>
        </w:rPr>
        <w:t xml:space="preserve">Kunz C, Rudloff </w:t>
      </w:r>
      <w:r>
        <w:rPr>
          <w:sz w:val="20"/>
          <w:szCs w:val="20"/>
        </w:rPr>
        <w:t>S, Baier W, Klein N, Strobel S (</w:t>
      </w:r>
      <w:r w:rsidRPr="00246EBF">
        <w:rPr>
          <w:sz w:val="20"/>
          <w:szCs w:val="20"/>
        </w:rPr>
        <w:t>2000</w:t>
      </w:r>
      <w:r>
        <w:rPr>
          <w:sz w:val="20"/>
          <w:szCs w:val="20"/>
        </w:rPr>
        <w:t>)</w:t>
      </w:r>
      <w:r w:rsidRPr="00246EBF">
        <w:rPr>
          <w:sz w:val="20"/>
          <w:szCs w:val="20"/>
        </w:rPr>
        <w:t xml:space="preserve"> </w:t>
      </w:r>
      <w:r>
        <w:rPr>
          <w:sz w:val="20"/>
          <w:szCs w:val="20"/>
        </w:rPr>
        <w:t xml:space="preserve">Oligosaccharides in human milk: </w:t>
      </w:r>
      <w:r w:rsidRPr="00246EBF">
        <w:rPr>
          <w:sz w:val="20"/>
          <w:szCs w:val="20"/>
        </w:rPr>
        <w:t xml:space="preserve">structural, functional, and metabolic aspects”. Annual Review </w:t>
      </w:r>
      <w:r>
        <w:rPr>
          <w:sz w:val="20"/>
          <w:szCs w:val="20"/>
        </w:rPr>
        <w:t xml:space="preserve">of Nutrition; 20:699-722, 2000. </w:t>
      </w:r>
      <w:r w:rsidRPr="00246EBF">
        <w:rPr>
          <w:sz w:val="20"/>
          <w:szCs w:val="20"/>
        </w:rPr>
        <w:t>DOI:10.1146/annurev.nutr.20.1.699</w:t>
      </w:r>
      <w:r>
        <w:rPr>
          <w:sz w:val="20"/>
          <w:szCs w:val="20"/>
        </w:rPr>
        <w:t xml:space="preserve">. </w:t>
      </w:r>
      <w:r w:rsidRPr="00384A4D">
        <w:rPr>
          <w:sz w:val="20"/>
          <w:szCs w:val="20"/>
        </w:rPr>
        <w:t>Accessed 3 September 2021.</w:t>
      </w:r>
    </w:p>
    <w:p w14:paraId="243F4302" w14:textId="2D19A1E3" w:rsidR="00D517D7" w:rsidRDefault="00D517D7" w:rsidP="00510B7A">
      <w:pPr>
        <w:widowControl/>
        <w:spacing w:before="120" w:after="120"/>
        <w:rPr>
          <w:sz w:val="20"/>
          <w:szCs w:val="20"/>
        </w:rPr>
      </w:pPr>
      <w:r>
        <w:rPr>
          <w:sz w:val="20"/>
          <w:szCs w:val="20"/>
        </w:rPr>
        <w:t>Leong A, Liu Z, Almshawit</w:t>
      </w:r>
      <w:r w:rsidRPr="00D517D7">
        <w:rPr>
          <w:sz w:val="20"/>
          <w:szCs w:val="20"/>
        </w:rPr>
        <w:t xml:space="preserve"> H</w:t>
      </w:r>
      <w:r>
        <w:rPr>
          <w:sz w:val="20"/>
          <w:szCs w:val="20"/>
        </w:rPr>
        <w:t>, Zisu B, Pillidge C, Rochfort S, &amp; Gill H</w:t>
      </w:r>
      <w:r w:rsidRPr="00D517D7">
        <w:rPr>
          <w:sz w:val="20"/>
          <w:szCs w:val="20"/>
        </w:rPr>
        <w:t xml:space="preserve"> (2019). Oligosaccharides in goats’ milk-based infant formula and their prebiotic and anti-infection properties. British Journal of Nutrition, 122(4), 441-449. doi:10.1017/S000711451900134X</w:t>
      </w:r>
      <w:r>
        <w:rPr>
          <w:sz w:val="20"/>
          <w:szCs w:val="20"/>
        </w:rPr>
        <w:t>. Accessed 3 September 2021.</w:t>
      </w:r>
    </w:p>
    <w:p w14:paraId="013E1F6E" w14:textId="52A719D3" w:rsidR="00384A4D" w:rsidRDefault="00384A4D" w:rsidP="00510B7A">
      <w:pPr>
        <w:widowControl/>
        <w:spacing w:before="120" w:after="120"/>
        <w:rPr>
          <w:sz w:val="20"/>
          <w:szCs w:val="20"/>
        </w:rPr>
      </w:pPr>
      <w:r w:rsidRPr="00384A4D">
        <w:rPr>
          <w:sz w:val="20"/>
          <w:szCs w:val="20"/>
        </w:rPr>
        <w:t>Lewis ZT, Totten SM, Smilowitz JT, Popovic M, Parker E, Lemay DG, Van Tassell ML, Miller MJ, Jin YS, German JB, Lebrilla CB &amp; Mills DA (2015) Maternal fucosyltransferase 2 status affects the gut bifidobacterial communities of breastfed infants. Microbiome 3, 13. https://doi.org/10.1186/s40168-015-0071-z. Accessed 3 September 2021.</w:t>
      </w:r>
    </w:p>
    <w:p w14:paraId="2F13F20D" w14:textId="30A77BA5" w:rsidR="00A7422F" w:rsidRPr="009E1BA3" w:rsidRDefault="00A7422F" w:rsidP="00510B7A">
      <w:pPr>
        <w:widowControl/>
        <w:spacing w:before="120" w:after="120"/>
        <w:rPr>
          <w:sz w:val="20"/>
          <w:szCs w:val="20"/>
        </w:rPr>
      </w:pPr>
      <w:r w:rsidRPr="009E1BA3">
        <w:rPr>
          <w:sz w:val="20"/>
          <w:szCs w:val="20"/>
        </w:rPr>
        <w:t>MEB (2017a) 2′-Fucosyllactose (2), Assessment of substantial equivalence for a notification, in accordance with European Regulation 258/97 concerning novel foods and novel food ingredients. Novel Foods Unit, Medicines Evaluation Board (MEB).</w:t>
      </w:r>
    </w:p>
    <w:p w14:paraId="2B39AB79" w14:textId="77777777" w:rsidR="00A7422F" w:rsidRPr="009E1BA3" w:rsidRDefault="00A7422F" w:rsidP="00510B7A">
      <w:pPr>
        <w:widowControl/>
        <w:spacing w:before="120" w:after="120"/>
        <w:rPr>
          <w:sz w:val="20"/>
          <w:szCs w:val="20"/>
        </w:rPr>
      </w:pPr>
      <w:r w:rsidRPr="009E1BA3">
        <w:rPr>
          <w:sz w:val="20"/>
          <w:szCs w:val="20"/>
        </w:rPr>
        <w:t>MEB (2017b) 2′-Fucosyllactose (3), Assessment of substantial equivalence for a notification, in accordance with European Regulation 258/97 concerning novel foods and novel food ingredients. Novel Foods Unit, MEB.</w:t>
      </w:r>
    </w:p>
    <w:p w14:paraId="1DE0F8F8" w14:textId="77777777" w:rsidR="00384A4D" w:rsidRDefault="00384A4D" w:rsidP="00510B7A">
      <w:pPr>
        <w:widowControl/>
        <w:spacing w:before="120" w:after="120"/>
        <w:rPr>
          <w:sz w:val="20"/>
          <w:szCs w:val="20"/>
          <w:lang w:val="en-AU"/>
        </w:rPr>
      </w:pPr>
      <w:r w:rsidRPr="00384A4D">
        <w:rPr>
          <w:sz w:val="20"/>
          <w:szCs w:val="20"/>
          <w:lang w:val="en-AU"/>
        </w:rPr>
        <w:t>Morrow AL, Ruiz-Palacios GM, Altaye M, Jiang X, Guerrero ML, Meinzen-Derr JK, Farkas T, Chaturvedi P, Pickering LK, Newburg DS (2004) Human milk oligosaccharides are associated with protection against diarrhea in breast-fed infants. J Pediatr. Sep;145(3):297-303. doi: 10.1016/j.jpeds.2004.04.054. PMID: 15343178. Accessed 6 September 2021.</w:t>
      </w:r>
    </w:p>
    <w:p w14:paraId="5E74171F" w14:textId="0BBE481B" w:rsidR="00A7422F" w:rsidRPr="00B44097" w:rsidRDefault="00A7422F" w:rsidP="00510B7A">
      <w:pPr>
        <w:widowControl/>
        <w:spacing w:before="120" w:after="120"/>
        <w:rPr>
          <w:lang w:val="en-AU"/>
        </w:rPr>
      </w:pPr>
      <w:r w:rsidRPr="009E1BA3">
        <w:rPr>
          <w:sz w:val="20"/>
          <w:szCs w:val="20"/>
          <w:lang w:val="en-AU"/>
        </w:rPr>
        <w:t xml:space="preserve">National Health and Medical Research Council (NHMRC) (2012) </w:t>
      </w:r>
      <w:r w:rsidRPr="009E1BA3">
        <w:rPr>
          <w:rFonts w:cstheme="minorBidi"/>
          <w:iCs/>
          <w:sz w:val="20"/>
          <w:szCs w:val="20"/>
          <w:lang w:val="en-AU"/>
        </w:rPr>
        <w:t>Infant Feeding Guidelines</w:t>
      </w:r>
      <w:r w:rsidRPr="009E1BA3">
        <w:rPr>
          <w:sz w:val="20"/>
          <w:szCs w:val="20"/>
          <w:lang w:val="en-AU"/>
        </w:rPr>
        <w:t xml:space="preserve">. Available at </w:t>
      </w:r>
      <w:hyperlink r:id="rId25" w:history="1">
        <w:r w:rsidRPr="004A1F7C">
          <w:rPr>
            <w:rStyle w:val="Hyperlink"/>
            <w:sz w:val="20"/>
            <w:szCs w:val="20"/>
            <w:lang w:val="en-AU"/>
          </w:rPr>
          <w:t>https://www.nhmrc.gov.au/about-us/publications/infant-feeding-guidelines-information-health-workers</w:t>
        </w:r>
      </w:hyperlink>
      <w:r>
        <w:rPr>
          <w:sz w:val="20"/>
          <w:szCs w:val="20"/>
          <w:lang w:val="en-AU"/>
        </w:rPr>
        <w:t xml:space="preserve">. </w:t>
      </w:r>
    </w:p>
    <w:p w14:paraId="26A7FC1F" w14:textId="77777777" w:rsidR="00A7422F" w:rsidRPr="00B44097" w:rsidRDefault="00A7422F" w:rsidP="00510B7A">
      <w:pPr>
        <w:widowControl/>
        <w:spacing w:before="120" w:after="120"/>
        <w:rPr>
          <w:sz w:val="18"/>
          <w:szCs w:val="20"/>
          <w:lang w:val="en-AU"/>
        </w:rPr>
      </w:pPr>
      <w:r w:rsidRPr="00B44097">
        <w:rPr>
          <w:sz w:val="20"/>
        </w:rPr>
        <w:t>New Zealand Ministry of Health</w:t>
      </w:r>
      <w:r>
        <w:rPr>
          <w:sz w:val="20"/>
        </w:rPr>
        <w:t xml:space="preserve"> (NZ MoH)</w:t>
      </w:r>
      <w:r w:rsidRPr="00B44097">
        <w:rPr>
          <w:sz w:val="20"/>
        </w:rPr>
        <w:t xml:space="preserve"> (2012) Food and Nutrition Guidelines for Healthy Infants and Toddlers (Aged 0–2). Available at </w:t>
      </w:r>
      <w:hyperlink r:id="rId26" w:history="1">
        <w:r w:rsidRPr="00795727">
          <w:rPr>
            <w:rStyle w:val="Hyperlink"/>
            <w:sz w:val="20"/>
          </w:rPr>
          <w:t>https://www.health.govt.nz/publication/food-and-nutritionguidelines-healthy-infants-and-toddlers-aged-0-2-background-paper-partially</w:t>
        </w:r>
      </w:hyperlink>
      <w:r>
        <w:rPr>
          <w:sz w:val="20"/>
        </w:rPr>
        <w:t xml:space="preserve">. </w:t>
      </w:r>
    </w:p>
    <w:p w14:paraId="157FEE68" w14:textId="7E1F3D9E" w:rsidR="00A7422F" w:rsidRDefault="00A7422F" w:rsidP="00510B7A">
      <w:pPr>
        <w:widowControl/>
        <w:spacing w:before="120" w:after="120"/>
        <w:rPr>
          <w:rFonts w:cs="Arial"/>
          <w:sz w:val="20"/>
          <w:szCs w:val="20"/>
        </w:rPr>
      </w:pPr>
      <w:r w:rsidRPr="009E1BA3">
        <w:rPr>
          <w:rFonts w:cs="Arial"/>
          <w:sz w:val="20"/>
          <w:szCs w:val="20"/>
        </w:rPr>
        <w:lastRenderedPageBreak/>
        <w:t>NFU (2016) 2</w:t>
      </w:r>
      <w:r w:rsidRPr="004777D4">
        <w:t>′</w:t>
      </w:r>
      <w:r w:rsidRPr="009E1BA3">
        <w:rPr>
          <w:rFonts w:cs="Arial"/>
          <w:sz w:val="20"/>
          <w:szCs w:val="20"/>
        </w:rPr>
        <w:t xml:space="preserve">-Fucosyllactose: Assessment of safety for the consumer, in accordance with European Regulation 258/97 concerning novel foods and novel food ingredients. Novel </w:t>
      </w:r>
      <w:r>
        <w:rPr>
          <w:rFonts w:cs="Arial"/>
          <w:sz w:val="20"/>
          <w:szCs w:val="20"/>
        </w:rPr>
        <w:t>F</w:t>
      </w:r>
      <w:r w:rsidRPr="009E1BA3">
        <w:rPr>
          <w:rFonts w:cs="Arial"/>
          <w:sz w:val="20"/>
          <w:szCs w:val="20"/>
        </w:rPr>
        <w:t>oods Unit, Medicines Evaluation Board, Netherlands.</w:t>
      </w:r>
    </w:p>
    <w:p w14:paraId="0F8BC7B1" w14:textId="46A5411D" w:rsidR="00384A4D" w:rsidRDefault="00384A4D" w:rsidP="00510B7A">
      <w:pPr>
        <w:widowControl/>
        <w:spacing w:before="120" w:after="120"/>
        <w:rPr>
          <w:rFonts w:cs="Arial"/>
          <w:sz w:val="20"/>
          <w:szCs w:val="20"/>
        </w:rPr>
      </w:pPr>
      <w:r w:rsidRPr="00384A4D">
        <w:rPr>
          <w:rFonts w:cs="Arial"/>
          <w:sz w:val="20"/>
          <w:szCs w:val="20"/>
        </w:rPr>
        <w:t>Palsson OS, Peery A, Seitzberg D, Amundsen ID, McConnell B, Simrén M (2020) Human Milk Oligosaccharides Support Normal Bowel Function and Improve Symptoms of Irritable Bowel Syndrome: A Multicenter, Open-Label Trial. Clinical and Translational Gastroenterology;11:e00276. https://doi.org/10.14309/ctg.0000000000000276. Accessed 3 September 2021.</w:t>
      </w:r>
    </w:p>
    <w:p w14:paraId="4CBFC017" w14:textId="10B95E7F" w:rsidR="00246EBF" w:rsidRPr="009E1BA3" w:rsidRDefault="00246EBF" w:rsidP="00510B7A">
      <w:pPr>
        <w:widowControl/>
        <w:spacing w:before="120" w:after="120"/>
        <w:rPr>
          <w:rFonts w:cs="Arial"/>
          <w:sz w:val="20"/>
          <w:szCs w:val="20"/>
        </w:rPr>
      </w:pPr>
      <w:r w:rsidRPr="00246EBF">
        <w:rPr>
          <w:rFonts w:cs="Arial"/>
          <w:sz w:val="20"/>
          <w:szCs w:val="20"/>
        </w:rPr>
        <w:t xml:space="preserve">Reverri EJ, Devitt AA, Kajzer JA, Baggs GE, Borschel MW (2018) Review of the Clinical Experiences of Feeding Infants Formula Containing the Human Milk Oligosaccharide 2’-Fucosyllactose. Nutrients, 100: 1346. Available from: </w:t>
      </w:r>
      <w:hyperlink r:id="rId27" w:history="1">
        <w:r w:rsidRPr="00B7701F">
          <w:rPr>
            <w:rStyle w:val="Hyperlink"/>
            <w:rFonts w:cs="Arial"/>
            <w:sz w:val="20"/>
            <w:szCs w:val="20"/>
          </w:rPr>
          <w:t>https://www.ncbi.nlm.nih.gov/pmc/articles/PMC6213476/</w:t>
        </w:r>
      </w:hyperlink>
      <w:r w:rsidRPr="00246EBF">
        <w:rPr>
          <w:rFonts w:cs="Arial"/>
          <w:sz w:val="20"/>
          <w:szCs w:val="20"/>
        </w:rPr>
        <w:t>.</w:t>
      </w:r>
      <w:r>
        <w:rPr>
          <w:rFonts w:cs="Arial"/>
          <w:sz w:val="20"/>
          <w:szCs w:val="20"/>
        </w:rPr>
        <w:t xml:space="preserve"> </w:t>
      </w:r>
      <w:r w:rsidRPr="00246EBF">
        <w:rPr>
          <w:rFonts w:cs="Arial"/>
          <w:sz w:val="20"/>
          <w:szCs w:val="20"/>
        </w:rPr>
        <w:t>Accessed 3 September 2021.</w:t>
      </w:r>
    </w:p>
    <w:p w14:paraId="35D92D17" w14:textId="47A340DC" w:rsidR="00246EBF" w:rsidRDefault="00246EBF" w:rsidP="00246EBF">
      <w:pPr>
        <w:widowControl/>
        <w:spacing w:before="120" w:after="120"/>
        <w:rPr>
          <w:rFonts w:cs="Arial"/>
          <w:sz w:val="20"/>
          <w:szCs w:val="20"/>
          <w:lang w:val="en-AU" w:eastAsia="en-GB"/>
        </w:rPr>
      </w:pPr>
      <w:r w:rsidRPr="00246EBF">
        <w:rPr>
          <w:rFonts w:cs="Arial"/>
          <w:sz w:val="20"/>
          <w:szCs w:val="20"/>
          <w:lang w:val="en-AU" w:eastAsia="en-GB"/>
        </w:rPr>
        <w:t>Salli K, Söd</w:t>
      </w:r>
      <w:r>
        <w:rPr>
          <w:rFonts w:cs="Arial"/>
          <w:sz w:val="20"/>
          <w:szCs w:val="20"/>
          <w:lang w:val="en-AU" w:eastAsia="en-GB"/>
        </w:rPr>
        <w:t xml:space="preserve">erling E, Hirvonen J, Gürsoy UK, </w:t>
      </w:r>
      <w:r w:rsidRPr="00246EBF">
        <w:rPr>
          <w:rFonts w:cs="Arial"/>
          <w:sz w:val="20"/>
          <w:szCs w:val="20"/>
          <w:lang w:val="en-AU" w:eastAsia="en-GB"/>
        </w:rPr>
        <w:t>Ouweh</w:t>
      </w:r>
      <w:r>
        <w:rPr>
          <w:rFonts w:cs="Arial"/>
          <w:sz w:val="20"/>
          <w:szCs w:val="20"/>
          <w:lang w:val="en-AU" w:eastAsia="en-GB"/>
        </w:rPr>
        <w:t>and AC (2020) Influence of 2’-</w:t>
      </w:r>
      <w:r w:rsidRPr="00246EBF">
        <w:rPr>
          <w:rFonts w:cs="Arial"/>
          <w:sz w:val="20"/>
          <w:szCs w:val="20"/>
          <w:lang w:val="en-AU" w:eastAsia="en-GB"/>
        </w:rPr>
        <w:t>fucosyllactose and galacto-oligosaccharides on the growt</w:t>
      </w:r>
      <w:r>
        <w:rPr>
          <w:rFonts w:cs="Arial"/>
          <w:sz w:val="20"/>
          <w:szCs w:val="20"/>
          <w:lang w:val="en-AU" w:eastAsia="en-GB"/>
        </w:rPr>
        <w:t xml:space="preserve">h and adhesion of Streptococcus </w:t>
      </w:r>
      <w:r w:rsidRPr="00246EBF">
        <w:rPr>
          <w:rFonts w:cs="Arial"/>
          <w:sz w:val="20"/>
          <w:szCs w:val="20"/>
          <w:lang w:val="en-AU" w:eastAsia="en-GB"/>
        </w:rPr>
        <w:t>mutans British Journal of Nutrition (2020), 124, 824–831.</w:t>
      </w:r>
    </w:p>
    <w:p w14:paraId="3705669E" w14:textId="75ED90CE" w:rsidR="00384A4D" w:rsidRDefault="00384A4D" w:rsidP="00246EBF">
      <w:pPr>
        <w:widowControl/>
        <w:spacing w:before="120" w:after="120"/>
        <w:rPr>
          <w:rFonts w:cs="Arial"/>
          <w:sz w:val="20"/>
          <w:szCs w:val="20"/>
          <w:lang w:val="en-AU" w:eastAsia="en-GB"/>
        </w:rPr>
      </w:pPr>
      <w:r w:rsidRPr="00384A4D">
        <w:rPr>
          <w:rFonts w:cs="Arial"/>
          <w:sz w:val="20"/>
          <w:szCs w:val="20"/>
          <w:lang w:val="en-AU" w:eastAsia="en-GB"/>
        </w:rPr>
        <w:t>Schluter J, Peled JU, Taylor BP, Markey KA, Smith M, Taur Y, Niehus R, Staffas A, Dai A, Fontana E, Amoretti LA, Wright RJ, Morjaria S, Fenelus M, Pessin MS, Chao NJ, Lew M, Bohannon L, Bush A, Sung AD, Hohl TM, Perales MA, van den Brink MRM, Xavier JB (2020) The gut microbiota is associated with immune cell dynamics in humans. Nature; 588(7837):303-307. doi: 10.1038/s41586-020-2971-8. Epub 2020 Nov 25. PMID: 33239790; PMCID: PMC7725892. Accessed 3 September 2021.</w:t>
      </w:r>
    </w:p>
    <w:p w14:paraId="10BA487A" w14:textId="0E2B87CC" w:rsidR="00384A4D" w:rsidRPr="009E1BA3" w:rsidRDefault="00384A4D" w:rsidP="00384A4D">
      <w:pPr>
        <w:widowControl/>
        <w:spacing w:before="120" w:after="120"/>
        <w:rPr>
          <w:rFonts w:cs="Arial"/>
          <w:sz w:val="20"/>
          <w:szCs w:val="20"/>
          <w:lang w:val="en-AU" w:eastAsia="en-GB"/>
        </w:rPr>
      </w:pPr>
      <w:r w:rsidRPr="009E1BA3">
        <w:rPr>
          <w:rFonts w:cs="Arial"/>
          <w:sz w:val="20"/>
          <w:szCs w:val="20"/>
          <w:lang w:val="en-AU" w:eastAsia="en-GB"/>
        </w:rPr>
        <w:t xml:space="preserve">SFA (2018) </w:t>
      </w:r>
      <w:hyperlink r:id="rId28" w:history="1">
        <w:r w:rsidRPr="009E1BA3">
          <w:rPr>
            <w:rStyle w:val="Hyperlink"/>
            <w:rFonts w:cs="Arial"/>
            <w:sz w:val="20"/>
            <w:szCs w:val="20"/>
            <w:lang w:val="en-AU" w:eastAsia="en-GB"/>
          </w:rPr>
          <w:t>Sale of Food Act</w:t>
        </w:r>
      </w:hyperlink>
      <w:r w:rsidRPr="009E1BA3">
        <w:rPr>
          <w:rFonts w:cs="Arial"/>
          <w:sz w:val="20"/>
          <w:szCs w:val="20"/>
          <w:lang w:val="en-AU" w:eastAsia="en-GB"/>
        </w:rPr>
        <w:t xml:space="preserve"> (Chapter 283, Section 56(1)): Food regulations Rg1 G.N. No. S264/1988 (revised edition 2005). Singapore Food Authority.</w:t>
      </w:r>
    </w:p>
    <w:p w14:paraId="452A4854" w14:textId="59AE71EE" w:rsidR="00384A4D" w:rsidRDefault="00384A4D" w:rsidP="00384A4D">
      <w:pPr>
        <w:widowControl/>
        <w:spacing w:before="120" w:after="120"/>
        <w:rPr>
          <w:rFonts w:cs="Arial"/>
          <w:sz w:val="20"/>
          <w:szCs w:val="20"/>
          <w:lang w:val="en-AU" w:eastAsia="en-GB"/>
        </w:rPr>
      </w:pPr>
      <w:r w:rsidRPr="00384A4D">
        <w:rPr>
          <w:rFonts w:cs="Arial"/>
          <w:sz w:val="20"/>
          <w:szCs w:val="20"/>
          <w:lang w:val="en-AU" w:eastAsia="en-GB"/>
        </w:rPr>
        <w:t>Siziba LP, Mank M; Stahl B; Gonsalves J; Blijenberg B; Ro</w:t>
      </w:r>
      <w:r>
        <w:rPr>
          <w:rFonts w:cs="Arial"/>
          <w:sz w:val="20"/>
          <w:szCs w:val="20"/>
          <w:lang w:val="en-AU" w:eastAsia="en-GB"/>
        </w:rPr>
        <w:t xml:space="preserve">thenbacher D; Genuneit J (2021) </w:t>
      </w:r>
      <w:r w:rsidRPr="00384A4D">
        <w:rPr>
          <w:rFonts w:cs="Arial"/>
          <w:sz w:val="20"/>
          <w:szCs w:val="20"/>
          <w:lang w:val="en-AU" w:eastAsia="en-GB"/>
        </w:rPr>
        <w:t>Human Milk Oligosaccharide Profiles over 12 Months of Lactation: The Ulm SPATZ Health Study. Nutrients, 13, 1973. https://doi.org/10.3390/nu13061973. Accessed 3 September 2021.</w:t>
      </w:r>
    </w:p>
    <w:p w14:paraId="4EDA31DA" w14:textId="6BB18529" w:rsidR="00384A4D" w:rsidRDefault="00384A4D" w:rsidP="00510B7A">
      <w:pPr>
        <w:widowControl/>
        <w:spacing w:before="120" w:after="120"/>
        <w:rPr>
          <w:rFonts w:cs="Arial"/>
          <w:sz w:val="20"/>
          <w:szCs w:val="20"/>
        </w:rPr>
      </w:pPr>
      <w:r w:rsidRPr="00384A4D">
        <w:rPr>
          <w:rFonts w:cs="Arial"/>
          <w:sz w:val="20"/>
          <w:szCs w:val="20"/>
        </w:rPr>
        <w:t>Sprenger N, Binia A, Austin S. Human Milk Oligosaccharides: Factors Affecting Their Composition and Their Physiological Significance. Nestle Nutr Inst Workshop Ser. 2019;90:43-56. doi: 10.1159/000490292. Epub 2019 Mar 13. PMID: 30865976. Accessed 6 September 2021.</w:t>
      </w:r>
    </w:p>
    <w:p w14:paraId="07DDC539" w14:textId="567F04A3" w:rsidR="00384A4D" w:rsidRDefault="00384A4D" w:rsidP="00510B7A">
      <w:pPr>
        <w:widowControl/>
        <w:spacing w:before="120" w:after="120"/>
        <w:rPr>
          <w:rFonts w:cs="Arial"/>
          <w:sz w:val="20"/>
          <w:szCs w:val="20"/>
        </w:rPr>
      </w:pPr>
      <w:r w:rsidRPr="00384A4D">
        <w:rPr>
          <w:rFonts w:cs="Arial"/>
          <w:sz w:val="20"/>
          <w:szCs w:val="20"/>
        </w:rPr>
        <w:t>Šuligoj T, Vigsnæs LK, Abbeele PVD, Apostolou A, Karalis K, Savva GM, McConnell B, Juge N (2020) Effects of Human Milk Oligosaccharides on the Adult Gut Microbiota and Barrier Function. Nutrients 2020, 12, 2808; doi:10.3390/nu12092808. Accessed 3 September 2021..</w:t>
      </w:r>
    </w:p>
    <w:p w14:paraId="0E9D0A2B" w14:textId="08E6587F" w:rsidR="00A7422F" w:rsidRPr="009E1BA3" w:rsidRDefault="00A7422F" w:rsidP="00510B7A">
      <w:pPr>
        <w:widowControl/>
        <w:spacing w:before="120" w:after="120"/>
        <w:rPr>
          <w:rFonts w:cs="Arial"/>
          <w:sz w:val="20"/>
          <w:szCs w:val="20"/>
        </w:rPr>
      </w:pPr>
      <w:r w:rsidRPr="009E1BA3">
        <w:rPr>
          <w:rFonts w:cs="Arial"/>
          <w:sz w:val="20"/>
          <w:szCs w:val="20"/>
        </w:rPr>
        <w:t xml:space="preserve">USFDA (2015) GRAS notice </w:t>
      </w:r>
      <w:hyperlink r:id="rId29" w:history="1">
        <w:r w:rsidRPr="009E1BA3">
          <w:rPr>
            <w:rStyle w:val="Hyperlink"/>
            <w:rFonts w:cs="Arial"/>
            <w:sz w:val="20"/>
            <w:szCs w:val="20"/>
          </w:rPr>
          <w:t>GRN No. 571</w:t>
        </w:r>
      </w:hyperlink>
      <w:r>
        <w:rPr>
          <w:rFonts w:cs="Arial"/>
          <w:sz w:val="20"/>
          <w:szCs w:val="20"/>
        </w:rPr>
        <w:t>, 2</w:t>
      </w:r>
      <w:r w:rsidRPr="004777D4">
        <w:t>′</w:t>
      </w:r>
      <w:r w:rsidRPr="009E1BA3">
        <w:rPr>
          <w:rFonts w:cs="Arial"/>
          <w:sz w:val="20"/>
          <w:szCs w:val="20"/>
        </w:rPr>
        <w:t>-Fucosyllactose, J</w:t>
      </w:r>
      <w:r>
        <w:rPr>
          <w:rFonts w:cs="Arial"/>
          <w:sz w:val="20"/>
          <w:szCs w:val="20"/>
        </w:rPr>
        <w:t>ennewein Biotechnologies, GmgH.</w:t>
      </w:r>
    </w:p>
    <w:p w14:paraId="399BC573" w14:textId="77777777" w:rsidR="00A7422F" w:rsidRPr="009E1BA3" w:rsidRDefault="00A7422F" w:rsidP="00510B7A">
      <w:pPr>
        <w:widowControl/>
        <w:spacing w:before="120" w:after="120"/>
        <w:rPr>
          <w:rFonts w:cs="Arial"/>
          <w:sz w:val="20"/>
          <w:szCs w:val="20"/>
        </w:rPr>
      </w:pPr>
      <w:r w:rsidRPr="009E1BA3">
        <w:rPr>
          <w:rFonts w:cs="Arial"/>
          <w:sz w:val="20"/>
          <w:szCs w:val="20"/>
        </w:rPr>
        <w:t xml:space="preserve">USFDA (2016a) GRAS notice </w:t>
      </w:r>
      <w:hyperlink r:id="rId30" w:history="1">
        <w:r w:rsidRPr="009E1BA3">
          <w:rPr>
            <w:rStyle w:val="Hyperlink"/>
            <w:rFonts w:cs="Arial"/>
            <w:sz w:val="20"/>
            <w:szCs w:val="20"/>
          </w:rPr>
          <w:t>GRN No. 650</w:t>
        </w:r>
      </w:hyperlink>
      <w:r w:rsidRPr="009E1BA3">
        <w:rPr>
          <w:rFonts w:cs="Arial"/>
          <w:sz w:val="20"/>
          <w:szCs w:val="20"/>
        </w:rPr>
        <w:t>, 2</w:t>
      </w:r>
      <w:r w:rsidRPr="004777D4">
        <w:t>′</w:t>
      </w:r>
      <w:r w:rsidRPr="009E1BA3">
        <w:rPr>
          <w:rFonts w:cs="Arial"/>
          <w:sz w:val="20"/>
          <w:szCs w:val="20"/>
        </w:rPr>
        <w:t>-</w:t>
      </w:r>
      <w:r w:rsidRPr="009E1BA3">
        <w:rPr>
          <w:rFonts w:cs="Arial"/>
          <w:i/>
          <w:sz w:val="20"/>
          <w:szCs w:val="20"/>
        </w:rPr>
        <w:t>O</w:t>
      </w:r>
      <w:r w:rsidRPr="009E1BA3">
        <w:rPr>
          <w:rFonts w:cs="Arial"/>
          <w:sz w:val="20"/>
          <w:szCs w:val="20"/>
        </w:rPr>
        <w:t>-Fucosyllactose Produc</w:t>
      </w:r>
      <w:r>
        <w:rPr>
          <w:rFonts w:cs="Arial"/>
          <w:sz w:val="20"/>
          <w:szCs w:val="20"/>
        </w:rPr>
        <w:t>ed by Fermentation, Glycom A/S.</w:t>
      </w:r>
    </w:p>
    <w:p w14:paraId="27F29E9A" w14:textId="63031235" w:rsidR="00A7422F" w:rsidRPr="009E1BA3" w:rsidRDefault="00A7422F" w:rsidP="00510B7A">
      <w:pPr>
        <w:widowControl/>
        <w:spacing w:before="120" w:after="120"/>
        <w:rPr>
          <w:rFonts w:cs="Arial"/>
          <w:sz w:val="20"/>
          <w:szCs w:val="20"/>
        </w:rPr>
      </w:pPr>
      <w:r w:rsidRPr="009E1BA3">
        <w:rPr>
          <w:rFonts w:cs="Arial"/>
          <w:sz w:val="20"/>
          <w:szCs w:val="20"/>
        </w:rPr>
        <w:t xml:space="preserve">USFDA (2016b) Guidance for Industry: Labeling of Infant Formula. Office of Nutrition and Food Labeling. Available from: </w:t>
      </w:r>
      <w:hyperlink r:id="rId31" w:history="1">
        <w:r w:rsidRPr="009E1BA3">
          <w:rPr>
            <w:rStyle w:val="Hyperlink"/>
            <w:rFonts w:cs="Arial"/>
            <w:sz w:val="20"/>
            <w:szCs w:val="20"/>
          </w:rPr>
          <w:t>https://www.fda.gov/regulatory-information/search-fda-guidance-documents/guidance-industry-labeling-infant-formula</w:t>
        </w:r>
      </w:hyperlink>
      <w:r w:rsidRPr="009E1BA3">
        <w:rPr>
          <w:rFonts w:cs="Arial"/>
          <w:sz w:val="20"/>
          <w:szCs w:val="20"/>
        </w:rPr>
        <w:t>. Accessed 17 January 2020</w:t>
      </w:r>
      <w:r w:rsidR="00384A4D">
        <w:rPr>
          <w:rFonts w:cs="Arial"/>
          <w:sz w:val="20"/>
          <w:szCs w:val="20"/>
        </w:rPr>
        <w:t>.</w:t>
      </w:r>
    </w:p>
    <w:p w14:paraId="21BB3AE9" w14:textId="33361A55" w:rsidR="00A7422F" w:rsidRPr="009E1BA3" w:rsidRDefault="00A7422F" w:rsidP="00510B7A">
      <w:pPr>
        <w:widowControl/>
        <w:spacing w:before="120" w:after="120"/>
        <w:rPr>
          <w:rFonts w:cs="Arial"/>
          <w:sz w:val="20"/>
          <w:szCs w:val="20"/>
        </w:rPr>
      </w:pPr>
      <w:r w:rsidRPr="009E1BA3">
        <w:rPr>
          <w:rFonts w:cs="Arial"/>
          <w:sz w:val="20"/>
          <w:szCs w:val="20"/>
        </w:rPr>
        <w:t xml:space="preserve">USFDA (2018a) GRAS notice </w:t>
      </w:r>
      <w:hyperlink r:id="rId32" w:history="1">
        <w:r w:rsidRPr="009E1BA3">
          <w:rPr>
            <w:rStyle w:val="Hyperlink"/>
            <w:rFonts w:cs="Arial"/>
            <w:sz w:val="20"/>
            <w:szCs w:val="20"/>
          </w:rPr>
          <w:t>GRN No. 735</w:t>
        </w:r>
      </w:hyperlink>
      <w:r w:rsidRPr="009E1BA3">
        <w:rPr>
          <w:rFonts w:cs="Arial"/>
          <w:sz w:val="20"/>
          <w:szCs w:val="20"/>
        </w:rPr>
        <w:t>, 2</w:t>
      </w:r>
      <w:r w:rsidRPr="004777D4">
        <w:t>′</w:t>
      </w:r>
      <w:r w:rsidRPr="009E1BA3">
        <w:rPr>
          <w:rFonts w:cs="Arial"/>
          <w:sz w:val="20"/>
          <w:szCs w:val="20"/>
        </w:rPr>
        <w:t>-Fucosyllactose, Glycosyn, LLC and Friesland Campina Domo B.V. Accessed 17 January 2020</w:t>
      </w:r>
      <w:r w:rsidR="00384A4D">
        <w:rPr>
          <w:rFonts w:cs="Arial"/>
          <w:sz w:val="20"/>
          <w:szCs w:val="20"/>
        </w:rPr>
        <w:t>.</w:t>
      </w:r>
    </w:p>
    <w:p w14:paraId="26CFC2A1" w14:textId="3F67FDDC" w:rsidR="00A7422F" w:rsidRDefault="00A7422F" w:rsidP="00510B7A">
      <w:pPr>
        <w:widowControl/>
        <w:spacing w:before="120" w:after="120"/>
        <w:rPr>
          <w:rFonts w:cs="Arial"/>
          <w:sz w:val="20"/>
          <w:szCs w:val="20"/>
        </w:rPr>
      </w:pPr>
      <w:r w:rsidRPr="009E1BA3">
        <w:rPr>
          <w:rFonts w:cs="Arial"/>
          <w:sz w:val="20"/>
          <w:szCs w:val="20"/>
        </w:rPr>
        <w:t xml:space="preserve">USFDA (2018b) GRAS notice </w:t>
      </w:r>
      <w:hyperlink r:id="rId33" w:history="1">
        <w:r w:rsidRPr="009E1BA3">
          <w:rPr>
            <w:rStyle w:val="Hyperlink"/>
            <w:rFonts w:cs="Arial"/>
            <w:sz w:val="20"/>
            <w:szCs w:val="20"/>
          </w:rPr>
          <w:t>GRN No. 749</w:t>
        </w:r>
      </w:hyperlink>
      <w:r w:rsidRPr="009E1BA3">
        <w:rPr>
          <w:rFonts w:cs="Arial"/>
          <w:sz w:val="20"/>
          <w:szCs w:val="20"/>
        </w:rPr>
        <w:t>, 2</w:t>
      </w:r>
      <w:r w:rsidRPr="004777D4">
        <w:t>′</w:t>
      </w:r>
      <w:r w:rsidRPr="009E1BA3">
        <w:rPr>
          <w:rFonts w:cs="Arial"/>
          <w:sz w:val="20"/>
          <w:szCs w:val="20"/>
        </w:rPr>
        <w:t>-</w:t>
      </w:r>
      <w:r w:rsidRPr="009E1BA3">
        <w:rPr>
          <w:rFonts w:cs="Arial"/>
          <w:i/>
          <w:sz w:val="20"/>
          <w:szCs w:val="20"/>
        </w:rPr>
        <w:t>O</w:t>
      </w:r>
      <w:r w:rsidRPr="009E1BA3">
        <w:rPr>
          <w:rFonts w:cs="Arial"/>
          <w:sz w:val="20"/>
          <w:szCs w:val="20"/>
        </w:rPr>
        <w:t>-Fucosyllactose, DuPont Nutrition &amp; Health. Accessed 17 January 2020</w:t>
      </w:r>
      <w:r w:rsidR="00384A4D">
        <w:rPr>
          <w:rFonts w:cs="Arial"/>
          <w:sz w:val="20"/>
          <w:szCs w:val="20"/>
        </w:rPr>
        <w:t>.</w:t>
      </w:r>
    </w:p>
    <w:p w14:paraId="526B3058" w14:textId="77777777" w:rsidR="00870129" w:rsidRDefault="00384A4D" w:rsidP="00870129">
      <w:pPr>
        <w:widowControl/>
        <w:spacing w:before="120" w:after="120"/>
        <w:rPr>
          <w:sz w:val="20"/>
          <w:szCs w:val="20"/>
        </w:rPr>
      </w:pPr>
      <w:r w:rsidRPr="00384A4D">
        <w:rPr>
          <w:sz w:val="20"/>
          <w:szCs w:val="20"/>
        </w:rPr>
        <w:t>Zuurveld M, van Witzenburg NP, Garssen J, Folkerts G, Stahl B, Van't Land B, &amp; Willemsen, L (2020) Immunomodulation by Human Milk Oligosaccharides: The Potential Role in Prevention of Allergic Diseases. Frontiers in immunology, 11, 801. https://doi.org/10.3389/fimmu.2020.00801. Accessed 3 September 2021.</w:t>
      </w:r>
    </w:p>
    <w:p w14:paraId="791CD10A" w14:textId="77777777" w:rsidR="00870129" w:rsidRDefault="00870129">
      <w:pPr>
        <w:widowControl/>
        <w:rPr>
          <w:sz w:val="20"/>
          <w:szCs w:val="20"/>
        </w:rPr>
      </w:pPr>
      <w:r>
        <w:rPr>
          <w:sz w:val="20"/>
          <w:szCs w:val="20"/>
        </w:rPr>
        <w:br w:type="page"/>
      </w:r>
    </w:p>
    <w:p w14:paraId="0BFDE336" w14:textId="6C8DF26F" w:rsidR="00A7422F" w:rsidRPr="00E203C2" w:rsidRDefault="00A7422F" w:rsidP="00510B7A">
      <w:pPr>
        <w:widowControl/>
        <w:spacing w:before="120" w:after="120"/>
      </w:pPr>
      <w:r w:rsidRPr="00924C80">
        <w:rPr>
          <w:b/>
          <w:sz w:val="28"/>
          <w:szCs w:val="28"/>
        </w:rPr>
        <w:lastRenderedPageBreak/>
        <w:t>A</w:t>
      </w:r>
      <w:r>
        <w:rPr>
          <w:b/>
          <w:sz w:val="28"/>
          <w:szCs w:val="28"/>
        </w:rPr>
        <w:t>ttachments</w:t>
      </w:r>
    </w:p>
    <w:p w14:paraId="2602464A" w14:textId="7CB6431F" w:rsidR="00A7422F" w:rsidRDefault="00A7422F" w:rsidP="00510B7A">
      <w:pPr>
        <w:widowControl/>
        <w:spacing w:before="120" w:after="120"/>
        <w:ind w:left="567" w:hanging="567"/>
      </w:pPr>
      <w:r>
        <w:t>A.</w:t>
      </w:r>
      <w:r>
        <w:tab/>
        <w:t xml:space="preserve">Approved </w:t>
      </w:r>
      <w:r w:rsidR="00C009A7">
        <w:t xml:space="preserve">draft </w:t>
      </w:r>
      <w:r>
        <w:t>variatio</w:t>
      </w:r>
      <w:r w:rsidRPr="00596FD1">
        <w:t>n</w:t>
      </w:r>
      <w:r>
        <w:t xml:space="preserve"> to the </w:t>
      </w:r>
      <w:r w:rsidRPr="00050FE3">
        <w:t>Australia New Zealand Food Standards Code</w:t>
      </w:r>
      <w:r>
        <w:t xml:space="preserve"> </w:t>
      </w:r>
    </w:p>
    <w:p w14:paraId="404F5D26" w14:textId="61E07C3A" w:rsidR="00A7422F" w:rsidRDefault="00A7422F" w:rsidP="00510B7A">
      <w:pPr>
        <w:widowControl/>
        <w:spacing w:before="120" w:after="120"/>
        <w:ind w:left="567" w:hanging="567"/>
      </w:pPr>
      <w:r w:rsidRPr="00456BD5">
        <w:t>B.</w:t>
      </w:r>
      <w:r w:rsidRPr="00456BD5">
        <w:tab/>
      </w:r>
      <w:r>
        <w:t xml:space="preserve">Explanatory Statement </w:t>
      </w:r>
    </w:p>
    <w:p w14:paraId="3FB55398" w14:textId="60F51189" w:rsidR="00A7422F" w:rsidRPr="00E203C2" w:rsidRDefault="00870129" w:rsidP="00870129">
      <w:pPr>
        <w:widowControl/>
        <w:spacing w:before="120" w:after="120"/>
        <w:ind w:left="567" w:hanging="567"/>
      </w:pPr>
      <w:r>
        <w:t>C.</w:t>
      </w:r>
      <w:r>
        <w:tab/>
      </w:r>
      <w:r w:rsidRPr="00870129">
        <w:t>Draft variation to the Australia New Zealand Food Standards Code (call for submissions)</w:t>
      </w:r>
    </w:p>
    <w:p w14:paraId="2EF55F93" w14:textId="74C86FE0" w:rsidR="00A7422F" w:rsidRPr="00456BD5" w:rsidRDefault="00A7422F" w:rsidP="00510B7A">
      <w:pPr>
        <w:pStyle w:val="Heading2"/>
        <w:widowControl/>
        <w:spacing w:before="120" w:after="120"/>
        <w:ind w:left="0" w:firstLine="0"/>
      </w:pPr>
      <w:r w:rsidRPr="00932F14">
        <w:br w:type="page"/>
      </w:r>
      <w:bookmarkStart w:id="174" w:name="_Toc81995116"/>
      <w:bookmarkStart w:id="175" w:name="_Toc415572039"/>
      <w:bookmarkEnd w:id="165"/>
      <w:bookmarkEnd w:id="166"/>
      <w:bookmarkEnd w:id="167"/>
      <w:bookmarkEnd w:id="168"/>
      <w:bookmarkEnd w:id="169"/>
      <w:r w:rsidRPr="00A7422F">
        <w:lastRenderedPageBreak/>
        <w:t>Attachmen</w:t>
      </w:r>
      <w:r>
        <w:t>t A – Approved draft variation</w:t>
      </w:r>
      <w:r w:rsidRPr="00A7422F">
        <w:t xml:space="preserve"> to the Australia New Zealand Food Standards Code</w:t>
      </w:r>
      <w:bookmarkEnd w:id="174"/>
      <w:r>
        <w:rPr>
          <w:i/>
        </w:rPr>
        <w:t xml:space="preserve"> </w:t>
      </w:r>
      <w:bookmarkEnd w:id="175"/>
    </w:p>
    <w:p w14:paraId="166059AE" w14:textId="77777777" w:rsidR="00A7422F" w:rsidRPr="0036244B" w:rsidRDefault="00A7422F" w:rsidP="00510B7A">
      <w:pPr>
        <w:widowControl/>
        <w:spacing w:before="120" w:after="120"/>
      </w:pPr>
    </w:p>
    <w:p w14:paraId="095D226F" w14:textId="77777777" w:rsidR="00A7422F" w:rsidRPr="00C0014E" w:rsidRDefault="00A7422F" w:rsidP="00510B7A">
      <w:pPr>
        <w:widowControl/>
        <w:spacing w:before="120" w:after="120"/>
        <w:rPr>
          <w:noProof/>
          <w:sz w:val="20"/>
          <w:lang w:val="en-AU" w:eastAsia="en-AU"/>
        </w:rPr>
      </w:pPr>
      <w:r w:rsidRPr="00C0014E">
        <w:rPr>
          <w:noProof/>
          <w:sz w:val="20"/>
          <w:lang w:eastAsia="en-GB" w:bidi="ar-SA"/>
        </w:rPr>
        <w:drawing>
          <wp:inline distT="0" distB="0" distL="0" distR="0" wp14:anchorId="1707F0CF" wp14:editId="26ADF9B0">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FEB4F8" w14:textId="77777777" w:rsidR="00A7422F" w:rsidRPr="006153A1" w:rsidRDefault="00A7422F" w:rsidP="00510B7A">
      <w:pPr>
        <w:widowControl/>
        <w:pBdr>
          <w:bottom w:val="single" w:sz="4" w:space="1" w:color="auto"/>
        </w:pBdr>
        <w:spacing w:before="120" w:after="120"/>
        <w:rPr>
          <w:b/>
          <w:bCs/>
        </w:rPr>
      </w:pPr>
    </w:p>
    <w:p w14:paraId="4A717438" w14:textId="4EC69AFE" w:rsidR="00A7422F" w:rsidRDefault="00A7422F" w:rsidP="00510B7A">
      <w:pPr>
        <w:widowControl/>
        <w:pBdr>
          <w:bottom w:val="single" w:sz="4" w:space="1" w:color="auto"/>
        </w:pBdr>
        <w:spacing w:before="120" w:after="120"/>
        <w:rPr>
          <w:b/>
          <w:sz w:val="20"/>
        </w:rPr>
      </w:pPr>
      <w:r w:rsidRPr="006153A1">
        <w:rPr>
          <w:b/>
          <w:sz w:val="20"/>
        </w:rPr>
        <w:t xml:space="preserve">Food Standards </w:t>
      </w:r>
      <w:r>
        <w:rPr>
          <w:b/>
          <w:sz w:val="20"/>
        </w:rPr>
        <w:t>(</w:t>
      </w:r>
      <w:r w:rsidRPr="00F618DF">
        <w:rPr>
          <w:b/>
          <w:sz w:val="20"/>
        </w:rPr>
        <w:t>Application A</w:t>
      </w:r>
      <w:r>
        <w:rPr>
          <w:b/>
          <w:sz w:val="20"/>
        </w:rPr>
        <w:t>1190</w:t>
      </w:r>
      <w:r w:rsidRPr="00F618DF">
        <w:rPr>
          <w:b/>
          <w:sz w:val="20"/>
        </w:rPr>
        <w:t xml:space="preserve"> </w:t>
      </w:r>
      <w:r w:rsidRPr="00A32232">
        <w:rPr>
          <w:b/>
          <w:sz w:val="20"/>
        </w:rPr>
        <w:t xml:space="preserve">– </w:t>
      </w:r>
      <w:r w:rsidR="00072704">
        <w:rPr>
          <w:b/>
          <w:sz w:val="20"/>
        </w:rPr>
        <w:t>2′-FL</w:t>
      </w:r>
      <w:r>
        <w:rPr>
          <w:b/>
          <w:sz w:val="20"/>
        </w:rPr>
        <w:t xml:space="preserve"> in infant formula and other products)</w:t>
      </w:r>
      <w:r w:rsidRPr="00C0014E">
        <w:rPr>
          <w:b/>
          <w:sz w:val="20"/>
        </w:rPr>
        <w:t xml:space="preserve"> Variation</w:t>
      </w:r>
    </w:p>
    <w:p w14:paraId="7D847848" w14:textId="77777777" w:rsidR="00A7422F" w:rsidRPr="00C0014E" w:rsidRDefault="00A7422F" w:rsidP="00510B7A">
      <w:pPr>
        <w:widowControl/>
        <w:pBdr>
          <w:bottom w:val="single" w:sz="4" w:space="1" w:color="auto"/>
        </w:pBdr>
        <w:spacing w:before="120" w:after="120"/>
        <w:rPr>
          <w:b/>
          <w:sz w:val="20"/>
        </w:rPr>
      </w:pPr>
    </w:p>
    <w:p w14:paraId="5E077098" w14:textId="77777777" w:rsidR="00A7422F" w:rsidRPr="008F2616" w:rsidRDefault="00A7422F" w:rsidP="00510B7A">
      <w:pPr>
        <w:widowControl/>
        <w:spacing w:before="120" w:after="120"/>
        <w:rPr>
          <w:sz w:val="20"/>
        </w:rPr>
      </w:pPr>
    </w:p>
    <w:p w14:paraId="5E775C98" w14:textId="77777777" w:rsidR="00A7422F" w:rsidRPr="008F2616" w:rsidRDefault="00A7422F" w:rsidP="00510B7A">
      <w:pPr>
        <w:widowControl/>
        <w:spacing w:before="120" w:after="120"/>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24282A35" w14:textId="77777777" w:rsidR="00A7422F" w:rsidRPr="008F2616" w:rsidRDefault="00A7422F" w:rsidP="00510B7A">
      <w:pPr>
        <w:widowControl/>
        <w:spacing w:before="120" w:after="120"/>
        <w:rPr>
          <w:sz w:val="20"/>
        </w:rPr>
      </w:pPr>
    </w:p>
    <w:p w14:paraId="33E7F7D0" w14:textId="77777777" w:rsidR="00A7422F" w:rsidRPr="008F2616" w:rsidRDefault="00A7422F" w:rsidP="00510B7A">
      <w:pPr>
        <w:widowControl/>
        <w:spacing w:before="120" w:after="120"/>
        <w:rPr>
          <w:sz w:val="20"/>
        </w:rPr>
      </w:pPr>
      <w:r w:rsidRPr="008F2616">
        <w:rPr>
          <w:sz w:val="20"/>
        </w:rPr>
        <w:t xml:space="preserve">Dated </w:t>
      </w:r>
      <w:r>
        <w:rPr>
          <w:sz w:val="20"/>
        </w:rPr>
        <w:t>[To be completed by Delegate]</w:t>
      </w:r>
    </w:p>
    <w:p w14:paraId="651AC81E" w14:textId="77777777" w:rsidR="00A7422F" w:rsidRPr="008F2616" w:rsidRDefault="00A7422F" w:rsidP="00510B7A">
      <w:pPr>
        <w:widowControl/>
        <w:spacing w:before="120" w:after="120"/>
        <w:rPr>
          <w:sz w:val="20"/>
        </w:rPr>
      </w:pPr>
    </w:p>
    <w:p w14:paraId="4F7C13C5" w14:textId="77777777" w:rsidR="00A7422F" w:rsidRDefault="00A7422F" w:rsidP="00510B7A">
      <w:pPr>
        <w:widowControl/>
        <w:spacing w:before="120" w:after="120"/>
        <w:rPr>
          <w:sz w:val="20"/>
        </w:rPr>
      </w:pPr>
    </w:p>
    <w:p w14:paraId="660F437B" w14:textId="77777777" w:rsidR="00A7422F" w:rsidRDefault="00A7422F" w:rsidP="00510B7A">
      <w:pPr>
        <w:widowControl/>
        <w:spacing w:before="120" w:after="120"/>
        <w:rPr>
          <w:sz w:val="20"/>
        </w:rPr>
      </w:pPr>
    </w:p>
    <w:p w14:paraId="729CBA7E" w14:textId="77777777" w:rsidR="00A7422F" w:rsidRPr="008F2616" w:rsidRDefault="00A7422F" w:rsidP="00510B7A">
      <w:pPr>
        <w:widowControl/>
        <w:spacing w:before="120" w:after="120"/>
        <w:rPr>
          <w:sz w:val="20"/>
        </w:rPr>
      </w:pPr>
    </w:p>
    <w:p w14:paraId="01AB7ACC" w14:textId="77777777" w:rsidR="00A7422F" w:rsidRPr="008F2616" w:rsidRDefault="00A7422F" w:rsidP="00510B7A">
      <w:pPr>
        <w:widowControl/>
        <w:spacing w:before="120" w:after="120"/>
        <w:rPr>
          <w:sz w:val="20"/>
        </w:rPr>
      </w:pPr>
    </w:p>
    <w:p w14:paraId="2A92A3E0" w14:textId="77777777" w:rsidR="00A7422F" w:rsidRDefault="00A7422F" w:rsidP="00510B7A">
      <w:pPr>
        <w:widowControl/>
        <w:spacing w:before="120" w:after="120"/>
        <w:rPr>
          <w:sz w:val="20"/>
        </w:rPr>
      </w:pPr>
      <w:r>
        <w:rPr>
          <w:sz w:val="20"/>
        </w:rPr>
        <w:t>[Insert name of Delegate]</w:t>
      </w:r>
    </w:p>
    <w:p w14:paraId="56A591F5" w14:textId="77777777" w:rsidR="00A7422F" w:rsidRDefault="00A7422F" w:rsidP="00510B7A">
      <w:pPr>
        <w:widowControl/>
        <w:spacing w:before="120" w:after="120"/>
        <w:rPr>
          <w:sz w:val="20"/>
        </w:rPr>
      </w:pPr>
      <w:r>
        <w:rPr>
          <w:sz w:val="20"/>
        </w:rPr>
        <w:t>Delegate of the Board of Food Standards Australia New Zealand</w:t>
      </w:r>
    </w:p>
    <w:p w14:paraId="28DD3CB9" w14:textId="77777777" w:rsidR="00A7422F" w:rsidRDefault="00A7422F" w:rsidP="00510B7A">
      <w:pPr>
        <w:widowControl/>
        <w:spacing w:before="120" w:after="120"/>
        <w:rPr>
          <w:sz w:val="20"/>
        </w:rPr>
      </w:pPr>
    </w:p>
    <w:p w14:paraId="4A6F3B15" w14:textId="77777777" w:rsidR="00A7422F" w:rsidRDefault="00A7422F" w:rsidP="00510B7A">
      <w:pPr>
        <w:widowControl/>
        <w:spacing w:before="120" w:after="120"/>
        <w:rPr>
          <w:sz w:val="20"/>
        </w:rPr>
      </w:pPr>
    </w:p>
    <w:p w14:paraId="283A5F1C" w14:textId="77777777" w:rsidR="00A7422F" w:rsidRDefault="00A7422F" w:rsidP="00510B7A">
      <w:pPr>
        <w:widowControl/>
        <w:spacing w:before="120" w:after="120"/>
        <w:rPr>
          <w:sz w:val="20"/>
        </w:rPr>
      </w:pPr>
    </w:p>
    <w:p w14:paraId="625F7DC7" w14:textId="77777777" w:rsidR="00A7422F" w:rsidRDefault="00A7422F" w:rsidP="00510B7A">
      <w:pPr>
        <w:widowControl/>
        <w:spacing w:before="120" w:after="120"/>
        <w:rPr>
          <w:sz w:val="20"/>
        </w:rPr>
      </w:pPr>
    </w:p>
    <w:p w14:paraId="04691583" w14:textId="77777777" w:rsidR="00A7422F" w:rsidRDefault="00A7422F" w:rsidP="00510B7A">
      <w:pPr>
        <w:widowControl/>
        <w:spacing w:before="120" w:after="120"/>
        <w:rPr>
          <w:sz w:val="20"/>
        </w:rPr>
      </w:pPr>
    </w:p>
    <w:p w14:paraId="4E6AEA60" w14:textId="77777777" w:rsidR="00A7422F" w:rsidRPr="00360C8F" w:rsidRDefault="00A7422F" w:rsidP="00510B7A">
      <w:pPr>
        <w:widowControl/>
        <w:pBdr>
          <w:top w:val="single" w:sz="4" w:space="1" w:color="auto"/>
          <w:left w:val="single" w:sz="4" w:space="4" w:color="auto"/>
          <w:bottom w:val="single" w:sz="4" w:space="1" w:color="auto"/>
          <w:right w:val="single" w:sz="4" w:space="4" w:color="auto"/>
        </w:pBdr>
        <w:spacing w:before="120" w:after="120"/>
        <w:rPr>
          <w:b/>
          <w:sz w:val="20"/>
          <w:lang w:val="en-AU"/>
        </w:rPr>
      </w:pPr>
      <w:r w:rsidRPr="00360C8F">
        <w:rPr>
          <w:b/>
          <w:sz w:val="20"/>
          <w:lang w:val="en-AU"/>
        </w:rPr>
        <w:t>Note:</w:t>
      </w:r>
    </w:p>
    <w:p w14:paraId="76AE5005" w14:textId="77777777" w:rsidR="00A7422F" w:rsidRPr="00360C8F" w:rsidRDefault="00A7422F" w:rsidP="00510B7A">
      <w:pPr>
        <w:widowControl/>
        <w:pBdr>
          <w:top w:val="single" w:sz="4" w:space="1" w:color="auto"/>
          <w:left w:val="single" w:sz="4" w:space="4" w:color="auto"/>
          <w:bottom w:val="single" w:sz="4" w:space="1" w:color="auto"/>
          <w:right w:val="single" w:sz="4" w:space="4" w:color="auto"/>
        </w:pBdr>
        <w:spacing w:before="120" w:after="120"/>
        <w:rPr>
          <w:sz w:val="20"/>
          <w:lang w:val="en-AU"/>
        </w:rPr>
      </w:pPr>
    </w:p>
    <w:p w14:paraId="1840C648" w14:textId="77777777" w:rsidR="00A7422F" w:rsidRPr="00360C8F" w:rsidRDefault="00A7422F" w:rsidP="00510B7A">
      <w:pPr>
        <w:widowControl/>
        <w:pBdr>
          <w:top w:val="single" w:sz="4" w:space="1" w:color="auto"/>
          <w:left w:val="single" w:sz="4" w:space="4" w:color="auto"/>
          <w:bottom w:val="single" w:sz="4" w:space="1" w:color="auto"/>
          <w:right w:val="single" w:sz="4" w:space="4" w:color="auto"/>
        </w:pBdr>
        <w:spacing w:before="120" w:after="120"/>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08037261" w14:textId="77777777" w:rsidR="00A7422F" w:rsidRDefault="00A7422F" w:rsidP="00510B7A">
      <w:pPr>
        <w:widowControl/>
        <w:spacing w:before="120" w:after="120"/>
        <w:rPr>
          <w:sz w:val="20"/>
        </w:rPr>
      </w:pPr>
    </w:p>
    <w:p w14:paraId="0747ABE3" w14:textId="77777777" w:rsidR="00A7422F" w:rsidRDefault="00A7422F" w:rsidP="00510B7A">
      <w:pPr>
        <w:widowControl/>
        <w:spacing w:before="120" w:after="120"/>
        <w:rPr>
          <w:sz w:val="20"/>
        </w:rPr>
      </w:pPr>
      <w:r>
        <w:rPr>
          <w:sz w:val="20"/>
        </w:rPr>
        <w:br w:type="page"/>
      </w:r>
    </w:p>
    <w:p w14:paraId="6399E33A" w14:textId="77777777" w:rsidR="00A7422F" w:rsidRPr="005F585D" w:rsidRDefault="00A7422F" w:rsidP="00510B7A">
      <w:pPr>
        <w:pStyle w:val="FSCDraftingitemheading"/>
        <w:widowControl/>
      </w:pPr>
      <w:r w:rsidRPr="00D433B1">
        <w:lastRenderedPageBreak/>
        <w:t>1</w:t>
      </w:r>
      <w:r w:rsidRPr="00D433B1">
        <w:tab/>
        <w:t>Name</w:t>
      </w:r>
    </w:p>
    <w:p w14:paraId="21AF1804" w14:textId="6ACD77A1" w:rsidR="00A7422F" w:rsidRPr="00F618DF" w:rsidRDefault="00A7422F" w:rsidP="00510B7A">
      <w:pPr>
        <w:pStyle w:val="FSCDraftingitem"/>
      </w:pPr>
      <w:r w:rsidRPr="00DB170D">
        <w:t xml:space="preserve">This instrument is the </w:t>
      </w:r>
      <w:r w:rsidRPr="00792F7C">
        <w:rPr>
          <w:i/>
        </w:rPr>
        <w:t>Food Standards (</w:t>
      </w:r>
      <w:r w:rsidRPr="003402EC">
        <w:rPr>
          <w:i/>
        </w:rPr>
        <w:t xml:space="preserve">Application A1190 – </w:t>
      </w:r>
      <w:r w:rsidR="00072704">
        <w:rPr>
          <w:i/>
        </w:rPr>
        <w:t>2′-FL</w:t>
      </w:r>
      <w:r w:rsidRPr="003402EC">
        <w:rPr>
          <w:i/>
        </w:rPr>
        <w:t xml:space="preserve"> in infant formula and other products</w:t>
      </w:r>
      <w:r w:rsidRPr="00792F7C">
        <w:rPr>
          <w:i/>
        </w:rPr>
        <w:t>) Variation</w:t>
      </w:r>
      <w:r w:rsidRPr="00F618DF">
        <w:t>.</w:t>
      </w:r>
    </w:p>
    <w:p w14:paraId="5539132A" w14:textId="77777777" w:rsidR="00A7422F" w:rsidRPr="003402EC" w:rsidRDefault="00A7422F" w:rsidP="00510B7A">
      <w:pPr>
        <w:pStyle w:val="FSCDraftingitemheading"/>
        <w:widowControl/>
      </w:pPr>
      <w:r w:rsidRPr="00D433B1">
        <w:t>2</w:t>
      </w:r>
      <w:r w:rsidRPr="00D433B1">
        <w:tab/>
        <w:t xml:space="preserve">Variation to </w:t>
      </w:r>
      <w:r>
        <w:t>S</w:t>
      </w:r>
      <w:r w:rsidRPr="003402EC">
        <w:t xml:space="preserve">tandards in the </w:t>
      </w:r>
      <w:r w:rsidRPr="003402EC">
        <w:rPr>
          <w:i/>
        </w:rPr>
        <w:t>Australia New Zealand Food Standards Code</w:t>
      </w:r>
    </w:p>
    <w:p w14:paraId="09A11791" w14:textId="77777777" w:rsidR="00A7422F" w:rsidRDefault="00A7422F" w:rsidP="00510B7A">
      <w:pPr>
        <w:pStyle w:val="FSCDraftingitem"/>
      </w:pPr>
      <w:r w:rsidRPr="003402EC">
        <w:t xml:space="preserve">The Schedule varies Standards in the </w:t>
      </w:r>
      <w:r w:rsidRPr="00792F7C">
        <w:rPr>
          <w:i/>
        </w:rPr>
        <w:t>Australia New Zealand Food Standards Code</w:t>
      </w:r>
      <w:r>
        <w:t>.</w:t>
      </w:r>
    </w:p>
    <w:p w14:paraId="0411B8F9" w14:textId="77777777" w:rsidR="00A7422F" w:rsidRPr="00D433B1" w:rsidRDefault="00A7422F" w:rsidP="00510B7A">
      <w:pPr>
        <w:pStyle w:val="FSCDraftingitemheading"/>
        <w:widowControl/>
      </w:pPr>
      <w:r w:rsidRPr="00D433B1">
        <w:t>3</w:t>
      </w:r>
      <w:r w:rsidRPr="00D433B1">
        <w:tab/>
        <w:t>Commencement</w:t>
      </w:r>
    </w:p>
    <w:p w14:paraId="36F1CAC6" w14:textId="77777777" w:rsidR="00A7422F" w:rsidRDefault="00A7422F" w:rsidP="00510B7A">
      <w:pPr>
        <w:pStyle w:val="FSCDraftingitem"/>
      </w:pPr>
      <w:r>
        <w:t>The variation commenc</w:t>
      </w:r>
      <w:r w:rsidRPr="000055C4">
        <w:t>e</w:t>
      </w:r>
      <w:r>
        <w:t>s</w:t>
      </w:r>
      <w:r w:rsidRPr="000055C4">
        <w:t xml:space="preserve"> on</w:t>
      </w:r>
      <w:r>
        <w:t xml:space="preserve"> the date of gazettal.</w:t>
      </w:r>
    </w:p>
    <w:p w14:paraId="74FCEF1C" w14:textId="77777777" w:rsidR="00A7422F" w:rsidRDefault="00A7422F" w:rsidP="00510B7A">
      <w:pPr>
        <w:pStyle w:val="FSCDraftingitemheading"/>
        <w:widowControl/>
      </w:pPr>
      <w:r>
        <w:t>4</w:t>
      </w:r>
      <w:r>
        <w:tab/>
        <w:t>Order in which amendments in the Schedule take effect</w:t>
      </w:r>
    </w:p>
    <w:p w14:paraId="266DF591" w14:textId="77777777" w:rsidR="00A7422F" w:rsidRDefault="00A7422F" w:rsidP="00510B7A">
      <w:pPr>
        <w:pStyle w:val="FSCDraftingitem"/>
      </w:pPr>
      <w:r>
        <w:t>Amendments in the Schedule take effect in numerical order.</w:t>
      </w:r>
    </w:p>
    <w:p w14:paraId="637280D5" w14:textId="77777777" w:rsidR="00A7422F" w:rsidRDefault="00A7422F" w:rsidP="00510B7A">
      <w:pPr>
        <w:pStyle w:val="FSCDraftingitem"/>
      </w:pPr>
    </w:p>
    <w:p w14:paraId="3AC55E52" w14:textId="77777777" w:rsidR="00A7422F" w:rsidRDefault="00A7422F" w:rsidP="00510B7A">
      <w:pPr>
        <w:widowControl/>
        <w:spacing w:before="120" w:after="120"/>
        <w:jc w:val="center"/>
        <w:rPr>
          <w:b/>
          <w:sz w:val="20"/>
        </w:rPr>
      </w:pPr>
      <w:r w:rsidRPr="00D433B1">
        <w:rPr>
          <w:b/>
          <w:sz w:val="20"/>
        </w:rPr>
        <w:t>Schedule</w:t>
      </w:r>
    </w:p>
    <w:p w14:paraId="40C03BB1" w14:textId="77777777" w:rsidR="00A7422F" w:rsidRPr="00D433B1" w:rsidRDefault="00A7422F" w:rsidP="00510B7A">
      <w:pPr>
        <w:widowControl/>
        <w:spacing w:before="120" w:after="120"/>
        <w:jc w:val="center"/>
        <w:rPr>
          <w:b/>
          <w:sz w:val="20"/>
        </w:rPr>
      </w:pPr>
    </w:p>
    <w:p w14:paraId="29BECF37" w14:textId="77777777" w:rsidR="00A7422F" w:rsidRPr="005C7DDE" w:rsidRDefault="00A7422F" w:rsidP="00510B7A">
      <w:pPr>
        <w:pStyle w:val="FSCDraftingitem"/>
        <w:rPr>
          <w:lang w:bidi="en-US"/>
        </w:rPr>
      </w:pPr>
      <w:r w:rsidRPr="005C7DDE">
        <w:rPr>
          <w:b/>
          <w:lang w:bidi="en-US"/>
        </w:rPr>
        <w:t>[1]</w:t>
      </w:r>
      <w:r w:rsidRPr="005C7DDE">
        <w:rPr>
          <w:b/>
          <w:lang w:bidi="en-US"/>
        </w:rPr>
        <w:tab/>
        <w:t xml:space="preserve">Standard 2.9.1 </w:t>
      </w:r>
      <w:r w:rsidRPr="005C7DDE">
        <w:rPr>
          <w:lang w:bidi="en-US"/>
        </w:rPr>
        <w:t>is varied by omitting</w:t>
      </w:r>
      <w:r>
        <w:rPr>
          <w:lang w:bidi="en-US"/>
        </w:rPr>
        <w:t xml:space="preserve"> </w:t>
      </w:r>
      <w:r w:rsidRPr="005C7DDE">
        <w:rPr>
          <w:lang w:bidi="en-US"/>
        </w:rPr>
        <w:t>“2′-O-fucosyllactose” (wherever occurring)</w:t>
      </w:r>
      <w:r>
        <w:rPr>
          <w:lang w:bidi="en-US"/>
        </w:rPr>
        <w:t xml:space="preserve"> in sub</w:t>
      </w:r>
      <w:r w:rsidRPr="00C56562">
        <w:rPr>
          <w:lang w:bidi="en-US"/>
        </w:rPr>
        <w:t xml:space="preserve">section </w:t>
      </w:r>
      <w:r>
        <w:t>2.9.1—7(2)</w:t>
      </w:r>
      <w:r w:rsidRPr="005C7DDE">
        <w:rPr>
          <w:lang w:bidi="en-US"/>
        </w:rPr>
        <w:t>, substituting “2′-fucosyllactose”</w:t>
      </w:r>
    </w:p>
    <w:p w14:paraId="182049A0" w14:textId="77777777" w:rsidR="00A7422F" w:rsidRPr="00C56562" w:rsidRDefault="00A7422F" w:rsidP="00510B7A">
      <w:pPr>
        <w:pStyle w:val="FSCDraftingitem"/>
        <w:rPr>
          <w:lang w:bidi="en-US"/>
        </w:rPr>
      </w:pPr>
      <w:r>
        <w:rPr>
          <w:b/>
          <w:lang w:bidi="en-US"/>
        </w:rPr>
        <w:t>[2]</w:t>
      </w:r>
      <w:r>
        <w:rPr>
          <w:b/>
          <w:lang w:bidi="en-US"/>
        </w:rPr>
        <w:tab/>
      </w:r>
      <w:r w:rsidRPr="00C56562">
        <w:rPr>
          <w:b/>
          <w:lang w:bidi="en-US"/>
        </w:rPr>
        <w:t>Schedule 3</w:t>
      </w:r>
      <w:r w:rsidRPr="00C56562">
        <w:rPr>
          <w:lang w:bidi="en-US"/>
        </w:rPr>
        <w:t xml:space="preserve"> is varied by </w:t>
      </w:r>
    </w:p>
    <w:p w14:paraId="29B52E08" w14:textId="77777777" w:rsidR="00A7422F" w:rsidRDefault="00A7422F" w:rsidP="00510B7A">
      <w:pPr>
        <w:pStyle w:val="FSCDraftingitem"/>
        <w:rPr>
          <w:lang w:bidi="en-US"/>
        </w:rPr>
      </w:pPr>
      <w:r w:rsidRPr="00C56562">
        <w:rPr>
          <w:lang w:bidi="en-US"/>
        </w:rPr>
        <w:t>[</w:t>
      </w:r>
      <w:r>
        <w:rPr>
          <w:lang w:bidi="en-US"/>
        </w:rPr>
        <w:t>2</w:t>
      </w:r>
      <w:r w:rsidRPr="00C56562">
        <w:rPr>
          <w:lang w:bidi="en-US"/>
        </w:rPr>
        <w:t>.1]</w:t>
      </w:r>
      <w:r w:rsidRPr="00C56562">
        <w:rPr>
          <w:lang w:bidi="en-US"/>
        </w:rPr>
        <w:tab/>
      </w:r>
      <w:r>
        <w:rPr>
          <w:lang w:bidi="en-US"/>
        </w:rPr>
        <w:t xml:space="preserve">omitting </w:t>
      </w:r>
      <w:r w:rsidRPr="00C56562">
        <w:rPr>
          <w:lang w:bidi="en-US"/>
        </w:rPr>
        <w:t xml:space="preserve">in the table to subsection </w:t>
      </w:r>
      <w:r w:rsidRPr="00C56562">
        <w:t>S3—2</w:t>
      </w:r>
      <w:r w:rsidRPr="00C56562">
        <w:rPr>
          <w:lang w:bidi="en-US"/>
        </w:rPr>
        <w:t xml:space="preserve">(2)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O-fucosyllactose' in the table in subsection S3-2(2) in alphabetical order."/>
      </w:tblPr>
      <w:tblGrid>
        <w:gridCol w:w="4254"/>
        <w:gridCol w:w="2550"/>
      </w:tblGrid>
      <w:tr w:rsidR="00A7422F" w:rsidRPr="00C56562" w14:paraId="59FE6C3D" w14:textId="77777777" w:rsidTr="00A7422F">
        <w:trPr>
          <w:cantSplit/>
          <w:jc w:val="center"/>
        </w:trPr>
        <w:tc>
          <w:tcPr>
            <w:tcW w:w="4254" w:type="dxa"/>
            <w:hideMark/>
          </w:tcPr>
          <w:p w14:paraId="26B3B782" w14:textId="77777777" w:rsidR="00A7422F" w:rsidRPr="00C56562" w:rsidRDefault="00A7422F" w:rsidP="00510B7A">
            <w:pPr>
              <w:pStyle w:val="FSCtblMain"/>
              <w:spacing w:before="120" w:after="120"/>
            </w:pPr>
            <w:r w:rsidRPr="00C56562">
              <w:t>2</w:t>
            </w:r>
            <w:r w:rsidRPr="00C56562">
              <w:rPr>
                <w:i/>
              </w:rPr>
              <w:t>′-</w:t>
            </w:r>
            <w:r w:rsidRPr="00C56562">
              <w:t>O-fucosyllactose</w:t>
            </w:r>
          </w:p>
        </w:tc>
        <w:tc>
          <w:tcPr>
            <w:tcW w:w="2550" w:type="dxa"/>
            <w:hideMark/>
          </w:tcPr>
          <w:p w14:paraId="5793BE75" w14:textId="77777777" w:rsidR="00A7422F" w:rsidRPr="00C56562" w:rsidRDefault="00A7422F" w:rsidP="00510B7A">
            <w:pPr>
              <w:pStyle w:val="FSCtblMain"/>
              <w:spacing w:before="120" w:after="120"/>
            </w:pPr>
            <w:r w:rsidRPr="00C56562">
              <w:t>section S3—40</w:t>
            </w:r>
          </w:p>
        </w:tc>
      </w:tr>
    </w:tbl>
    <w:p w14:paraId="108B42EB" w14:textId="77777777" w:rsidR="00A7422F" w:rsidRDefault="00A7422F" w:rsidP="00510B7A">
      <w:pPr>
        <w:pStyle w:val="FSCDraftingitem"/>
        <w:rPr>
          <w:lang w:bidi="en-US"/>
        </w:rPr>
      </w:pPr>
      <w:r>
        <w:rPr>
          <w:lang w:bidi="en-US"/>
        </w:rPr>
        <w:tab/>
        <w:t>and substituting, in alphabetical order</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K-12' in the table in subsection S3–40 in alphabetical order."/>
      </w:tblPr>
      <w:tblGrid>
        <w:gridCol w:w="4254"/>
        <w:gridCol w:w="2550"/>
      </w:tblGrid>
      <w:tr w:rsidR="00A7422F" w:rsidRPr="00C56562" w14:paraId="44AEA5BB" w14:textId="77777777" w:rsidTr="00A7422F">
        <w:trPr>
          <w:cantSplit/>
          <w:jc w:val="center"/>
        </w:trPr>
        <w:tc>
          <w:tcPr>
            <w:tcW w:w="4254" w:type="dxa"/>
            <w:hideMark/>
          </w:tcPr>
          <w:p w14:paraId="4992F448" w14:textId="77777777" w:rsidR="00A7422F" w:rsidRPr="00C56562" w:rsidRDefault="00A7422F" w:rsidP="00510B7A">
            <w:pPr>
              <w:pStyle w:val="FSCtblMain"/>
              <w:spacing w:before="120" w:after="120"/>
            </w:pPr>
            <w:r w:rsidRPr="00C56562">
              <w:t>2</w:t>
            </w:r>
            <w:r w:rsidRPr="00C56562">
              <w:rPr>
                <w:i/>
              </w:rPr>
              <w:t>′-</w:t>
            </w:r>
            <w:r w:rsidRPr="00C56562">
              <w:t>fucosyllactose</w:t>
            </w:r>
            <w:r>
              <w:t xml:space="preserve"> sourced from </w:t>
            </w:r>
            <w:r>
              <w:rPr>
                <w:i/>
              </w:rPr>
              <w:t xml:space="preserve">Escherichia coli </w:t>
            </w:r>
            <w:r w:rsidRPr="004E0A99">
              <w:t>K-12</w:t>
            </w:r>
            <w:r>
              <w:t xml:space="preserve"> </w:t>
            </w:r>
          </w:p>
        </w:tc>
        <w:tc>
          <w:tcPr>
            <w:tcW w:w="2550" w:type="dxa"/>
            <w:hideMark/>
          </w:tcPr>
          <w:p w14:paraId="25B24FDD" w14:textId="77777777" w:rsidR="00A7422F" w:rsidRPr="00C56562" w:rsidRDefault="00A7422F" w:rsidP="00510B7A">
            <w:pPr>
              <w:pStyle w:val="FSCtblMain"/>
              <w:spacing w:before="120" w:after="120"/>
            </w:pPr>
            <w:r w:rsidRPr="00C56562">
              <w:t>section S3—40</w:t>
            </w:r>
          </w:p>
        </w:tc>
      </w:tr>
    </w:tbl>
    <w:p w14:paraId="7B18C59B" w14:textId="77777777" w:rsidR="00A7422F" w:rsidRDefault="00A7422F" w:rsidP="00510B7A">
      <w:pPr>
        <w:pStyle w:val="FSCDraftingitem"/>
        <w:rPr>
          <w:lang w:bidi="en-US"/>
        </w:rPr>
      </w:pPr>
      <w:r w:rsidRPr="00C56562">
        <w:rPr>
          <w:lang w:bidi="en-US"/>
        </w:rPr>
        <w:t>[</w:t>
      </w:r>
      <w:r>
        <w:rPr>
          <w:lang w:bidi="en-US"/>
        </w:rPr>
        <w:t>2</w:t>
      </w:r>
      <w:r w:rsidRPr="00C56562">
        <w:rPr>
          <w:lang w:bidi="en-US"/>
        </w:rPr>
        <w:t>.</w:t>
      </w:r>
      <w:r>
        <w:rPr>
          <w:lang w:bidi="en-US"/>
        </w:rPr>
        <w:t>2</w:t>
      </w:r>
      <w:r w:rsidRPr="00C56562">
        <w:rPr>
          <w:lang w:bidi="en-US"/>
        </w:rPr>
        <w:t>]</w:t>
      </w:r>
      <w:r w:rsidRPr="00C56562">
        <w:rPr>
          <w:lang w:bidi="en-US"/>
        </w:rPr>
        <w:tab/>
      </w:r>
      <w:r>
        <w:rPr>
          <w:lang w:bidi="en-US"/>
        </w:rPr>
        <w:t xml:space="preserve">inserting </w:t>
      </w:r>
      <w:r w:rsidRPr="00C56562">
        <w:rPr>
          <w:lang w:bidi="en-US"/>
        </w:rPr>
        <w:t xml:space="preserve">in the table to subsection </w:t>
      </w:r>
      <w:r w:rsidRPr="00C56562">
        <w:t>S3—2</w:t>
      </w:r>
      <w:r w:rsidRPr="00C56562">
        <w:rPr>
          <w:lang w:bidi="en-US"/>
        </w:rPr>
        <w:t>(2)</w:t>
      </w:r>
      <w:r w:rsidRPr="00944008">
        <w:t>, in alphabetical order</w:t>
      </w:r>
      <w:r w:rsidRPr="00C56562">
        <w:rPr>
          <w:lang w:bidi="en-US"/>
        </w:rPr>
        <w:t xml:space="preserve">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BL21' in the table in subsection S3–45 in alphabetical order."/>
      </w:tblPr>
      <w:tblGrid>
        <w:gridCol w:w="4254"/>
        <w:gridCol w:w="2550"/>
      </w:tblGrid>
      <w:tr w:rsidR="00A7422F" w:rsidRPr="00C56562" w14:paraId="108E3121" w14:textId="77777777" w:rsidTr="00A7422F">
        <w:trPr>
          <w:cantSplit/>
          <w:jc w:val="center"/>
        </w:trPr>
        <w:tc>
          <w:tcPr>
            <w:tcW w:w="4254" w:type="dxa"/>
            <w:hideMark/>
          </w:tcPr>
          <w:p w14:paraId="0061C0E0" w14:textId="77777777" w:rsidR="00A7422F" w:rsidRPr="00C56562" w:rsidRDefault="00A7422F" w:rsidP="00510B7A">
            <w:pPr>
              <w:pStyle w:val="FSCtblMain"/>
              <w:spacing w:before="120" w:after="120"/>
            </w:pPr>
            <w:r w:rsidRPr="00C56562">
              <w:t>2</w:t>
            </w:r>
            <w:r w:rsidRPr="00C56562">
              <w:rPr>
                <w:i/>
              </w:rPr>
              <w:t>′-</w:t>
            </w:r>
            <w:r w:rsidRPr="00C56562">
              <w:t>fucosyllactose</w:t>
            </w:r>
            <w:r>
              <w:t xml:space="preserve"> </w:t>
            </w:r>
            <w:r w:rsidRPr="006B26BD">
              <w:rPr>
                <w:szCs w:val="18"/>
              </w:rPr>
              <w:t xml:space="preserve">sourced from </w:t>
            </w:r>
            <w:r w:rsidRPr="006B26BD">
              <w:rPr>
                <w:i/>
                <w:szCs w:val="18"/>
              </w:rPr>
              <w:t xml:space="preserve">Escherichia coli </w:t>
            </w:r>
            <w:r w:rsidRPr="006B26BD">
              <w:rPr>
                <w:szCs w:val="18"/>
              </w:rPr>
              <w:t>BL21</w:t>
            </w:r>
          </w:p>
        </w:tc>
        <w:tc>
          <w:tcPr>
            <w:tcW w:w="2550" w:type="dxa"/>
            <w:hideMark/>
          </w:tcPr>
          <w:p w14:paraId="413104B3" w14:textId="77777777" w:rsidR="00A7422F" w:rsidRPr="00C56562" w:rsidRDefault="00A7422F" w:rsidP="00510B7A">
            <w:pPr>
              <w:pStyle w:val="FSCtblMain"/>
              <w:spacing w:before="120" w:after="120"/>
            </w:pPr>
            <w:r w:rsidRPr="00C56562">
              <w:t>section S3—</w:t>
            </w:r>
            <w:r>
              <w:t>45</w:t>
            </w:r>
          </w:p>
        </w:tc>
      </w:tr>
    </w:tbl>
    <w:p w14:paraId="39FF88A5" w14:textId="77777777" w:rsidR="00A7422F" w:rsidRPr="007B2F80" w:rsidRDefault="00A7422F" w:rsidP="00510B7A">
      <w:pPr>
        <w:pStyle w:val="FSCDraftingitem"/>
        <w:rPr>
          <w:lang w:bidi="en-US"/>
        </w:rPr>
      </w:pPr>
      <w:r w:rsidRPr="007B2F80">
        <w:rPr>
          <w:lang w:bidi="en-US"/>
        </w:rPr>
        <w:t>[</w:t>
      </w:r>
      <w:r>
        <w:rPr>
          <w:lang w:bidi="en-US"/>
        </w:rPr>
        <w:t>2</w:t>
      </w:r>
      <w:r w:rsidRPr="007B2F80">
        <w:rPr>
          <w:lang w:bidi="en-US"/>
        </w:rPr>
        <w:t>.3]</w:t>
      </w:r>
      <w:r w:rsidRPr="007B2F80">
        <w:rPr>
          <w:lang w:bidi="en-US"/>
        </w:rPr>
        <w:tab/>
        <w:t>omitting the heading for section S3—40, substituting</w:t>
      </w:r>
    </w:p>
    <w:p w14:paraId="1B29EAA0" w14:textId="77777777" w:rsidR="00A7422F" w:rsidRDefault="00A7422F" w:rsidP="00510B7A">
      <w:pPr>
        <w:pStyle w:val="FSCh5Section"/>
        <w:widowControl/>
        <w:spacing w:before="120"/>
      </w:pPr>
      <w:r>
        <w:t>S3—40</w:t>
      </w:r>
      <w:r>
        <w:tab/>
        <w:t>Specification for 2′</w:t>
      </w:r>
      <w:r w:rsidRPr="007B2F80">
        <w:t xml:space="preserve">-fucosyllactose </w:t>
      </w:r>
      <w:r w:rsidRPr="00EC22F2">
        <w:t xml:space="preserve">sourced from </w:t>
      </w:r>
      <w:r w:rsidRPr="00EC22F2">
        <w:rPr>
          <w:i/>
        </w:rPr>
        <w:t>Escherichia coli</w:t>
      </w:r>
      <w:r w:rsidRPr="00EC22F2">
        <w:t xml:space="preserve"> K-12</w:t>
      </w:r>
    </w:p>
    <w:p w14:paraId="321AB6F2" w14:textId="77777777" w:rsidR="00A7422F" w:rsidRDefault="00A7422F" w:rsidP="00510B7A">
      <w:pPr>
        <w:pStyle w:val="FSCDraftingitem"/>
        <w:rPr>
          <w:lang w:bidi="en-US"/>
        </w:rPr>
      </w:pPr>
      <w:r>
        <w:rPr>
          <w:lang w:bidi="en-US"/>
        </w:rPr>
        <w:t>[2.4]</w:t>
      </w:r>
      <w:r>
        <w:rPr>
          <w:lang w:bidi="en-US"/>
        </w:rPr>
        <w:tab/>
        <w:t>omitting “</w:t>
      </w:r>
      <w:r w:rsidRPr="0068561C">
        <w:t>2′-</w:t>
      </w:r>
      <w:r>
        <w:t>O-</w:t>
      </w:r>
      <w:r w:rsidRPr="0068561C">
        <w:t>fucosyllactose (2′-FL)</w:t>
      </w:r>
      <w:r>
        <w:t>”</w:t>
      </w:r>
      <w:r>
        <w:rPr>
          <w:lang w:bidi="en-US"/>
        </w:rPr>
        <w:t xml:space="preserve"> in </w:t>
      </w:r>
      <w:r>
        <w:t xml:space="preserve">section </w:t>
      </w:r>
      <w:r w:rsidRPr="007B2F80">
        <w:rPr>
          <w:lang w:bidi="en-US"/>
        </w:rPr>
        <w:t>S3—40</w:t>
      </w:r>
      <w:r>
        <w:t>, substituting “2′</w:t>
      </w:r>
      <w:r w:rsidRPr="007B2F80">
        <w:t xml:space="preserve">-fucosyllactose </w:t>
      </w:r>
      <w:r>
        <w:t>(2′</w:t>
      </w:r>
      <w:r>
        <w:noBreakHyphen/>
      </w:r>
      <w:r w:rsidRPr="0068561C">
        <w:t>FL)</w:t>
      </w:r>
      <w:r>
        <w:t xml:space="preserve"> </w:t>
      </w:r>
      <w:r w:rsidRPr="007B2F80">
        <w:t xml:space="preserve">sourced from </w:t>
      </w:r>
      <w:r w:rsidRPr="00A32A84">
        <w:rPr>
          <w:i/>
        </w:rPr>
        <w:t>Escherichia coli</w:t>
      </w:r>
      <w:r w:rsidRPr="007B2F80">
        <w:t xml:space="preserve"> K-</w:t>
      </w:r>
      <w:r>
        <w:t>1</w:t>
      </w:r>
      <w:r w:rsidRPr="007B2F80">
        <w:t>2</w:t>
      </w:r>
      <w:r>
        <w:t>”</w:t>
      </w:r>
    </w:p>
    <w:p w14:paraId="45E92BF1" w14:textId="77777777" w:rsidR="00A7422F" w:rsidRDefault="00A7422F" w:rsidP="00510B7A">
      <w:pPr>
        <w:pStyle w:val="FSCDraftingitem"/>
        <w:rPr>
          <w:lang w:bidi="en-US"/>
        </w:rPr>
      </w:pPr>
      <w:r>
        <w:rPr>
          <w:lang w:bidi="en-US"/>
        </w:rPr>
        <w:t>[2.5]</w:t>
      </w:r>
      <w:r>
        <w:rPr>
          <w:lang w:bidi="en-US"/>
        </w:rPr>
        <w:tab/>
      </w:r>
      <w:r w:rsidRPr="00C56562">
        <w:rPr>
          <w:lang w:bidi="en-US"/>
        </w:rPr>
        <w:t>inserting after subsection S3—</w:t>
      </w:r>
      <w:r>
        <w:rPr>
          <w:lang w:bidi="en-US"/>
        </w:rPr>
        <w:t>44</w:t>
      </w:r>
    </w:p>
    <w:p w14:paraId="1D47A813" w14:textId="77777777" w:rsidR="00A7422F" w:rsidRPr="006B26BD" w:rsidRDefault="00A7422F" w:rsidP="00510B7A">
      <w:pPr>
        <w:pStyle w:val="FSCh5Section"/>
        <w:widowControl/>
        <w:spacing w:before="120"/>
        <w:rPr>
          <w:szCs w:val="22"/>
        </w:rPr>
      </w:pPr>
      <w:r>
        <w:t>S3—45</w:t>
      </w:r>
      <w:r>
        <w:tab/>
        <w:t xml:space="preserve">Specification for </w:t>
      </w:r>
      <w:r w:rsidRPr="006D4A9F">
        <w:t>2</w:t>
      </w:r>
      <w:r w:rsidRPr="006D4A9F">
        <w:rPr>
          <w:rFonts w:cs="Arial"/>
        </w:rPr>
        <w:t>′</w:t>
      </w:r>
      <w:r>
        <w:rPr>
          <w:i/>
        </w:rPr>
        <w:t>-</w:t>
      </w:r>
      <w:r w:rsidRPr="006B26BD">
        <w:rPr>
          <w:szCs w:val="22"/>
        </w:rPr>
        <w:t xml:space="preserve">fucosyllactose sourced from </w:t>
      </w:r>
      <w:r w:rsidRPr="00373BF3">
        <w:rPr>
          <w:rFonts w:cs="Arial"/>
          <w:i/>
          <w:szCs w:val="22"/>
        </w:rPr>
        <w:t>Escherichia coli</w:t>
      </w:r>
      <w:r w:rsidRPr="006B26BD">
        <w:rPr>
          <w:i/>
          <w:szCs w:val="22"/>
        </w:rPr>
        <w:t xml:space="preserve"> </w:t>
      </w:r>
      <w:r w:rsidRPr="006B26BD">
        <w:rPr>
          <w:szCs w:val="22"/>
        </w:rPr>
        <w:t>BL21</w:t>
      </w:r>
    </w:p>
    <w:p w14:paraId="6107AD7A" w14:textId="77777777" w:rsidR="00A7422F" w:rsidRDefault="00A7422F" w:rsidP="00510B7A">
      <w:pPr>
        <w:pStyle w:val="FSCtMain"/>
        <w:widowControl/>
        <w:ind w:firstLine="0"/>
      </w:pPr>
      <w:r>
        <w:tab/>
        <w:t>For 2′-</w:t>
      </w:r>
      <w:r w:rsidRPr="0068561C">
        <w:t>fucosyllactose (2′-FL)</w:t>
      </w:r>
      <w:r>
        <w:t xml:space="preserve"> </w:t>
      </w:r>
      <w:r w:rsidRPr="00D441B2">
        <w:t xml:space="preserve">sourced from </w:t>
      </w:r>
      <w:r w:rsidRPr="00373BF3">
        <w:rPr>
          <w:i/>
        </w:rPr>
        <w:t>Escherichia coli</w:t>
      </w:r>
      <w:r w:rsidRPr="00D441B2">
        <w:t xml:space="preserve"> BL21</w:t>
      </w:r>
      <w:r w:rsidRPr="0068561C">
        <w:t>, the specifications are the following:</w:t>
      </w:r>
    </w:p>
    <w:p w14:paraId="7E971395"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c</w:t>
      </w:r>
      <w:r w:rsidRPr="00B25BA2">
        <w:rPr>
          <w:lang w:bidi="en-US"/>
        </w:rPr>
        <w:t>hemical name</w:t>
      </w:r>
      <w:r>
        <w:rPr>
          <w:lang w:bidi="en-US"/>
        </w:rPr>
        <w:t>—</w:t>
      </w:r>
      <w:r w:rsidRPr="00B25BA2">
        <w:rPr>
          <w:lang w:bidi="en-US"/>
        </w:rPr>
        <w:t>α-L-</w:t>
      </w:r>
      <w:r>
        <w:rPr>
          <w:lang w:bidi="en-US"/>
        </w:rPr>
        <w:t>f</w:t>
      </w:r>
      <w:r w:rsidRPr="00B25BA2">
        <w:rPr>
          <w:lang w:bidi="en-US"/>
        </w:rPr>
        <w:t>ucopyranosyl-(1→2)-β-D-galactopyranosyl-(1→4)-D-glucopyranose</w:t>
      </w:r>
    </w:p>
    <w:p w14:paraId="04D73B69"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c</w:t>
      </w:r>
      <w:r w:rsidRPr="00B25BA2">
        <w:rPr>
          <w:lang w:bidi="en-US"/>
        </w:rPr>
        <w:t>hemical formula</w:t>
      </w:r>
      <w:r>
        <w:rPr>
          <w:lang w:bidi="en-US"/>
        </w:rPr>
        <w:t>—</w:t>
      </w:r>
      <w:r w:rsidRPr="00B25BA2">
        <w:rPr>
          <w:lang w:val="en" w:bidi="en-US"/>
        </w:rPr>
        <w:t>C</w:t>
      </w:r>
      <w:r w:rsidRPr="00B25BA2">
        <w:rPr>
          <w:vertAlign w:val="subscript"/>
          <w:lang w:val="en" w:bidi="en-US"/>
        </w:rPr>
        <w:t>18</w:t>
      </w:r>
      <w:r w:rsidRPr="00B25BA2">
        <w:rPr>
          <w:lang w:val="en" w:bidi="en-US"/>
        </w:rPr>
        <w:t>H</w:t>
      </w:r>
      <w:r w:rsidRPr="00B25BA2">
        <w:rPr>
          <w:vertAlign w:val="subscript"/>
          <w:lang w:val="en" w:bidi="en-US"/>
        </w:rPr>
        <w:t>32</w:t>
      </w:r>
      <w:r w:rsidRPr="00B25BA2">
        <w:rPr>
          <w:lang w:val="en" w:bidi="en-US"/>
        </w:rPr>
        <w:t>O</w:t>
      </w:r>
      <w:r w:rsidRPr="00B25BA2">
        <w:rPr>
          <w:vertAlign w:val="subscript"/>
          <w:lang w:val="en" w:bidi="en-US"/>
        </w:rPr>
        <w:t>15</w:t>
      </w:r>
    </w:p>
    <w:p w14:paraId="500EDD6C" w14:textId="77777777" w:rsidR="00A7422F" w:rsidRPr="00B25BA2" w:rsidRDefault="00A7422F" w:rsidP="00510B7A">
      <w:pPr>
        <w:pStyle w:val="FSCtPara"/>
        <w:widowControl/>
        <w:numPr>
          <w:ilvl w:val="0"/>
          <w:numId w:val="16"/>
        </w:numPr>
        <w:spacing w:before="120" w:after="120"/>
        <w:ind w:left="2268" w:hanging="566"/>
        <w:rPr>
          <w:lang w:bidi="en-US"/>
        </w:rPr>
      </w:pPr>
      <w:r w:rsidRPr="00B25BA2">
        <w:rPr>
          <w:lang w:bidi="en-US"/>
        </w:rPr>
        <w:t>CAS number</w:t>
      </w:r>
      <w:r>
        <w:rPr>
          <w:lang w:bidi="en-US"/>
        </w:rPr>
        <w:t>—</w:t>
      </w:r>
      <w:r w:rsidRPr="00B25BA2">
        <w:rPr>
          <w:lang w:bidi="en-US"/>
        </w:rPr>
        <w:t>41263-94-9</w:t>
      </w:r>
    </w:p>
    <w:p w14:paraId="65514D80"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d</w:t>
      </w:r>
      <w:r w:rsidRPr="00B25BA2">
        <w:rPr>
          <w:lang w:bidi="en-US"/>
        </w:rPr>
        <w:t>escription</w:t>
      </w:r>
      <w:r>
        <w:rPr>
          <w:lang w:bidi="en-US"/>
        </w:rPr>
        <w:t>—either a w</w:t>
      </w:r>
      <w:r w:rsidRPr="00B25BA2">
        <w:rPr>
          <w:lang w:bidi="en-US"/>
        </w:rPr>
        <w:t>hite to ivory powder,</w:t>
      </w:r>
      <w:r>
        <w:rPr>
          <w:lang w:bidi="en-US"/>
        </w:rPr>
        <w:t xml:space="preserve"> </w:t>
      </w:r>
      <w:r w:rsidRPr="00B25BA2">
        <w:rPr>
          <w:lang w:bidi="en-US"/>
        </w:rPr>
        <w:t xml:space="preserve">or </w:t>
      </w:r>
      <w:r>
        <w:rPr>
          <w:lang w:bidi="en-US"/>
        </w:rPr>
        <w:t xml:space="preserve">a </w:t>
      </w:r>
      <w:r w:rsidRPr="00B25BA2">
        <w:rPr>
          <w:lang w:bidi="en-US"/>
        </w:rPr>
        <w:t>colourless to slightly yellow liquid</w:t>
      </w:r>
    </w:p>
    <w:p w14:paraId="7B171C76"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2′-FL—n</w:t>
      </w:r>
      <w:r w:rsidRPr="00B25BA2">
        <w:rPr>
          <w:lang w:bidi="en-US"/>
        </w:rPr>
        <w:t>ot less than 90.0%</w:t>
      </w:r>
    </w:p>
    <w:p w14:paraId="40ABC976"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D-l</w:t>
      </w:r>
      <w:r w:rsidRPr="00B25BA2">
        <w:rPr>
          <w:lang w:bidi="en-US"/>
        </w:rPr>
        <w:t>actose</w:t>
      </w:r>
      <w:r>
        <w:rPr>
          <w:lang w:bidi="en-US"/>
        </w:rPr>
        <w:t>—n</w:t>
      </w:r>
      <w:r w:rsidRPr="00B25BA2">
        <w:rPr>
          <w:lang w:bidi="en-US"/>
        </w:rPr>
        <w:t>ot more than 5.0%</w:t>
      </w:r>
    </w:p>
    <w:p w14:paraId="195C919B"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L-f</w:t>
      </w:r>
      <w:r w:rsidRPr="00B25BA2">
        <w:rPr>
          <w:lang w:bidi="en-US"/>
        </w:rPr>
        <w:t>ucose</w:t>
      </w:r>
      <w:r>
        <w:rPr>
          <w:lang w:bidi="en-US"/>
        </w:rPr>
        <w:t>—n</w:t>
      </w:r>
      <w:r w:rsidRPr="00B25BA2">
        <w:rPr>
          <w:lang w:bidi="en-US"/>
        </w:rPr>
        <w:t>ot more than 3.0%</w:t>
      </w:r>
    </w:p>
    <w:p w14:paraId="0F4AA3B4" w14:textId="77777777" w:rsidR="00A7422F" w:rsidRPr="00B25BA2" w:rsidRDefault="00A7422F" w:rsidP="00510B7A">
      <w:pPr>
        <w:pStyle w:val="FSCtPara"/>
        <w:widowControl/>
        <w:numPr>
          <w:ilvl w:val="0"/>
          <w:numId w:val="16"/>
        </w:numPr>
        <w:spacing w:before="120" w:after="120"/>
        <w:ind w:left="2268" w:hanging="566"/>
        <w:rPr>
          <w:lang w:bidi="en-US"/>
        </w:rPr>
      </w:pPr>
      <w:r w:rsidRPr="00B25BA2">
        <w:rPr>
          <w:lang w:bidi="en-US"/>
        </w:rPr>
        <w:t>3-</w:t>
      </w:r>
      <w:r>
        <w:rPr>
          <w:lang w:bidi="en-US"/>
        </w:rPr>
        <w:t>f</w:t>
      </w:r>
      <w:r w:rsidRPr="00B25BA2">
        <w:rPr>
          <w:lang w:bidi="en-US"/>
        </w:rPr>
        <w:t>ucosyllactose</w:t>
      </w:r>
      <w:r>
        <w:rPr>
          <w:lang w:bidi="en-US"/>
        </w:rPr>
        <w:t>—n</w:t>
      </w:r>
      <w:r w:rsidRPr="00B25BA2">
        <w:rPr>
          <w:lang w:bidi="en-US"/>
        </w:rPr>
        <w:t>ot more than 5.0%</w:t>
      </w:r>
    </w:p>
    <w:p w14:paraId="3D76F34D"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lastRenderedPageBreak/>
        <w:t>d</w:t>
      </w:r>
      <w:r w:rsidRPr="00B25BA2">
        <w:rPr>
          <w:lang w:bidi="en-US"/>
        </w:rPr>
        <w:t>ifucosyllactose</w:t>
      </w:r>
      <w:r>
        <w:rPr>
          <w:lang w:bidi="en-US"/>
        </w:rPr>
        <w:t>—n</w:t>
      </w:r>
      <w:r w:rsidRPr="00B25BA2">
        <w:rPr>
          <w:lang w:bidi="en-US"/>
        </w:rPr>
        <w:t>ot more than 5.0%</w:t>
      </w:r>
    </w:p>
    <w:p w14:paraId="1760B2AF"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f</w:t>
      </w:r>
      <w:r w:rsidRPr="00B25BA2">
        <w:rPr>
          <w:lang w:bidi="en-US"/>
        </w:rPr>
        <w:t>ucosyl-</w:t>
      </w:r>
      <w:r>
        <w:rPr>
          <w:lang w:bidi="en-US"/>
        </w:rPr>
        <w:t>g</w:t>
      </w:r>
      <w:r w:rsidRPr="00B25BA2">
        <w:rPr>
          <w:lang w:bidi="en-US"/>
        </w:rPr>
        <w:t>alactose</w:t>
      </w:r>
      <w:r>
        <w:rPr>
          <w:lang w:bidi="en-US"/>
        </w:rPr>
        <w:t>—n</w:t>
      </w:r>
      <w:r w:rsidRPr="00B25BA2">
        <w:rPr>
          <w:lang w:bidi="en-US"/>
        </w:rPr>
        <w:t>ot more than 3.0%</w:t>
      </w:r>
    </w:p>
    <w:p w14:paraId="73B391A7"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g</w:t>
      </w:r>
      <w:r w:rsidRPr="00B25BA2">
        <w:rPr>
          <w:lang w:bidi="en-US"/>
        </w:rPr>
        <w:t>lucose</w:t>
      </w:r>
      <w:r>
        <w:rPr>
          <w:lang w:bidi="en-US"/>
        </w:rPr>
        <w:t>—n</w:t>
      </w:r>
      <w:r w:rsidRPr="00B25BA2">
        <w:rPr>
          <w:lang w:bidi="en-US"/>
        </w:rPr>
        <w:t>ot more than 3.0%</w:t>
      </w:r>
    </w:p>
    <w:p w14:paraId="4AE7A8B5"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g</w:t>
      </w:r>
      <w:r w:rsidRPr="00B25BA2">
        <w:rPr>
          <w:lang w:bidi="en-US"/>
        </w:rPr>
        <w:t>alactose</w:t>
      </w:r>
      <w:r>
        <w:rPr>
          <w:lang w:bidi="en-US"/>
        </w:rPr>
        <w:t>—n</w:t>
      </w:r>
      <w:r w:rsidRPr="00B25BA2">
        <w:rPr>
          <w:lang w:bidi="en-US"/>
        </w:rPr>
        <w:t>ot more than 3.0%</w:t>
      </w:r>
    </w:p>
    <w:p w14:paraId="343FF71B"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w</w:t>
      </w:r>
      <w:r w:rsidRPr="00B25BA2">
        <w:rPr>
          <w:lang w:bidi="en-US"/>
        </w:rPr>
        <w:t>ater</w:t>
      </w:r>
      <w:r>
        <w:rPr>
          <w:lang w:bidi="en-US"/>
        </w:rPr>
        <w:t>—n</w:t>
      </w:r>
      <w:r w:rsidRPr="00B25BA2">
        <w:rPr>
          <w:lang w:bidi="en-US"/>
        </w:rPr>
        <w:t xml:space="preserve">ot more than 9.0% </w:t>
      </w:r>
      <w:r>
        <w:rPr>
          <w:lang w:bidi="en-US"/>
        </w:rPr>
        <w:t>for powder, not applicable for liquid</w:t>
      </w:r>
    </w:p>
    <w:p w14:paraId="14F78800"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s</w:t>
      </w:r>
      <w:r w:rsidRPr="00B25BA2">
        <w:rPr>
          <w:lang w:bidi="en-US"/>
        </w:rPr>
        <w:t>olids</w:t>
      </w:r>
      <w:r>
        <w:rPr>
          <w:lang w:bidi="en-US"/>
        </w:rPr>
        <w:t>—</w:t>
      </w:r>
      <w:r w:rsidRPr="00B25BA2">
        <w:rPr>
          <w:lang w:bidi="en-US"/>
        </w:rPr>
        <w:t>45% w/v (± 5%) dry matter in water</w:t>
      </w:r>
      <w:r>
        <w:rPr>
          <w:lang w:bidi="en-US"/>
        </w:rPr>
        <w:t>, not applicable for powder</w:t>
      </w:r>
    </w:p>
    <w:p w14:paraId="77291C86"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a</w:t>
      </w:r>
      <w:r w:rsidRPr="00B25BA2">
        <w:rPr>
          <w:lang w:bidi="en-US"/>
        </w:rPr>
        <w:t>sh, sulphated</w:t>
      </w:r>
      <w:r>
        <w:rPr>
          <w:lang w:bidi="en-US"/>
        </w:rPr>
        <w:t>—n</w:t>
      </w:r>
      <w:r w:rsidRPr="00B25BA2">
        <w:rPr>
          <w:lang w:bidi="en-US"/>
        </w:rPr>
        <w:t>ot more than 0.5%</w:t>
      </w:r>
    </w:p>
    <w:p w14:paraId="7F38272E"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r</w:t>
      </w:r>
      <w:r w:rsidRPr="00B25BA2">
        <w:rPr>
          <w:lang w:bidi="en-US"/>
        </w:rPr>
        <w:t>esidual proteins</w:t>
      </w:r>
      <w:r>
        <w:rPr>
          <w:lang w:bidi="en-US"/>
        </w:rPr>
        <w:t>—n</w:t>
      </w:r>
      <w:r w:rsidRPr="00B25BA2">
        <w:rPr>
          <w:lang w:bidi="en-US"/>
        </w:rPr>
        <w:t>ot more than 0.01%</w:t>
      </w:r>
    </w:p>
    <w:p w14:paraId="2843FC22"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l</w:t>
      </w:r>
      <w:r w:rsidRPr="00B25BA2">
        <w:rPr>
          <w:lang w:bidi="en-US"/>
        </w:rPr>
        <w:t>ead</w:t>
      </w:r>
      <w:r>
        <w:rPr>
          <w:lang w:bidi="en-US"/>
        </w:rPr>
        <w:t>—n</w:t>
      </w:r>
      <w:r w:rsidRPr="00B25BA2">
        <w:rPr>
          <w:lang w:bidi="en-US"/>
        </w:rPr>
        <w:t>ot more than 0.02 mg/kg</w:t>
      </w:r>
    </w:p>
    <w:p w14:paraId="532C77E5"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a</w:t>
      </w:r>
      <w:r w:rsidRPr="00B25BA2">
        <w:rPr>
          <w:lang w:bidi="en-US"/>
        </w:rPr>
        <w:t>rsenic</w:t>
      </w:r>
      <w:r>
        <w:rPr>
          <w:lang w:bidi="en-US"/>
        </w:rPr>
        <w:t>—n</w:t>
      </w:r>
      <w:r w:rsidRPr="00B25BA2">
        <w:rPr>
          <w:lang w:bidi="en-US"/>
        </w:rPr>
        <w:t>ot more than 0.2 mg/kg</w:t>
      </w:r>
    </w:p>
    <w:p w14:paraId="6C007A55"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c</w:t>
      </w:r>
      <w:r w:rsidRPr="00B25BA2">
        <w:rPr>
          <w:lang w:bidi="en-US"/>
        </w:rPr>
        <w:t>admium</w:t>
      </w:r>
      <w:r>
        <w:rPr>
          <w:lang w:bidi="en-US"/>
        </w:rPr>
        <w:t>—n</w:t>
      </w:r>
      <w:r w:rsidRPr="00B25BA2">
        <w:rPr>
          <w:lang w:bidi="en-US"/>
        </w:rPr>
        <w:t>ot more than 0.1 mg/kg</w:t>
      </w:r>
    </w:p>
    <w:p w14:paraId="69620F87"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m</w:t>
      </w:r>
      <w:r w:rsidRPr="00B25BA2">
        <w:rPr>
          <w:lang w:bidi="en-US"/>
        </w:rPr>
        <w:t>ercury</w:t>
      </w:r>
      <w:r>
        <w:rPr>
          <w:lang w:bidi="en-US"/>
        </w:rPr>
        <w:t>—n</w:t>
      </w:r>
      <w:r w:rsidRPr="00B25BA2">
        <w:rPr>
          <w:lang w:bidi="en-US"/>
        </w:rPr>
        <w:t>ot more than 0.5 mg/kg</w:t>
      </w:r>
    </w:p>
    <w:p w14:paraId="71FAA999" w14:textId="77777777" w:rsidR="00A7422F" w:rsidRPr="00B25BA2" w:rsidRDefault="00A7422F" w:rsidP="00510B7A">
      <w:pPr>
        <w:pStyle w:val="FSCtPara"/>
        <w:widowControl/>
        <w:numPr>
          <w:ilvl w:val="0"/>
          <w:numId w:val="16"/>
        </w:numPr>
        <w:spacing w:before="120" w:after="120"/>
        <w:ind w:left="2268" w:hanging="566"/>
        <w:rPr>
          <w:lang w:bidi="en-US"/>
        </w:rPr>
      </w:pPr>
      <w:r>
        <w:rPr>
          <w:lang w:bidi="en-US"/>
        </w:rPr>
        <w:t>m</w:t>
      </w:r>
      <w:r w:rsidRPr="00B25BA2">
        <w:rPr>
          <w:lang w:bidi="en-US"/>
        </w:rPr>
        <w:t>icrobiological:</w:t>
      </w:r>
    </w:p>
    <w:p w14:paraId="38494094" w14:textId="0F811B29" w:rsidR="00A7422F" w:rsidRPr="00B25BA2" w:rsidRDefault="00CA1247" w:rsidP="00510B7A">
      <w:pPr>
        <w:pStyle w:val="FSCtSubpara"/>
        <w:widowControl/>
        <w:numPr>
          <w:ilvl w:val="0"/>
          <w:numId w:val="17"/>
        </w:numPr>
        <w:tabs>
          <w:tab w:val="clear" w:pos="2268"/>
          <w:tab w:val="left" w:pos="2835"/>
        </w:tabs>
        <w:spacing w:before="120" w:after="120"/>
        <w:ind w:left="2268" w:firstLine="0"/>
        <w:rPr>
          <w:lang w:bidi="en-US"/>
        </w:rPr>
      </w:pPr>
      <w:r>
        <w:rPr>
          <w:i/>
          <w:lang w:bidi="en-US"/>
        </w:rPr>
        <w:t>S</w:t>
      </w:r>
      <w:r w:rsidRPr="005D7118">
        <w:rPr>
          <w:i/>
          <w:lang w:bidi="en-US"/>
        </w:rPr>
        <w:t>almonella</w:t>
      </w:r>
      <w:r w:rsidR="00A7422F">
        <w:rPr>
          <w:lang w:bidi="en-US"/>
        </w:rPr>
        <w:t>—a</w:t>
      </w:r>
      <w:r w:rsidR="00A7422F" w:rsidRPr="00B25BA2">
        <w:rPr>
          <w:lang w:bidi="en-US"/>
        </w:rPr>
        <w:t xml:space="preserve">bsent in 100 g </w:t>
      </w:r>
      <w:r w:rsidR="00A7422F">
        <w:rPr>
          <w:lang w:bidi="en-US"/>
        </w:rPr>
        <w:t xml:space="preserve">for </w:t>
      </w:r>
      <w:r w:rsidR="00A7422F" w:rsidRPr="00B25BA2">
        <w:rPr>
          <w:lang w:bidi="en-US"/>
        </w:rPr>
        <w:t xml:space="preserve">powder, absent in 200 mL </w:t>
      </w:r>
      <w:r w:rsidR="00A7422F">
        <w:rPr>
          <w:lang w:bidi="en-US"/>
        </w:rPr>
        <w:t xml:space="preserve">for </w:t>
      </w:r>
      <w:r w:rsidR="00A7422F" w:rsidRPr="00B25BA2">
        <w:rPr>
          <w:lang w:bidi="en-US"/>
        </w:rPr>
        <w:t>liquid</w:t>
      </w:r>
    </w:p>
    <w:p w14:paraId="6D3F3A1D" w14:textId="77777777" w:rsidR="00A7422F" w:rsidRPr="00B25BA2" w:rsidRDefault="00A7422F" w:rsidP="00510B7A">
      <w:pPr>
        <w:pStyle w:val="FSCtSubpara"/>
        <w:widowControl/>
        <w:numPr>
          <w:ilvl w:val="0"/>
          <w:numId w:val="17"/>
        </w:numPr>
        <w:tabs>
          <w:tab w:val="clear" w:pos="2268"/>
          <w:tab w:val="left" w:pos="2835"/>
        </w:tabs>
        <w:spacing w:before="120" w:after="120"/>
        <w:ind w:left="2835" w:hanging="567"/>
        <w:rPr>
          <w:lang w:bidi="en-US"/>
        </w:rPr>
      </w:pPr>
      <w:r>
        <w:rPr>
          <w:lang w:bidi="en-US"/>
        </w:rPr>
        <w:t>t</w:t>
      </w:r>
      <w:r w:rsidRPr="00B25BA2">
        <w:rPr>
          <w:lang w:bidi="en-US"/>
        </w:rPr>
        <w:t>otal plate count</w:t>
      </w:r>
      <w:r>
        <w:rPr>
          <w:lang w:bidi="en-US"/>
        </w:rPr>
        <w:t>—n</w:t>
      </w:r>
      <w:r w:rsidRPr="00B25BA2">
        <w:rPr>
          <w:lang w:bidi="en-US"/>
        </w:rPr>
        <w:t>ot more than 10000 cfu/g</w:t>
      </w:r>
      <w:r w:rsidRPr="00777343">
        <w:rPr>
          <w:lang w:bidi="en-US"/>
        </w:rPr>
        <w:t xml:space="preserve"> </w:t>
      </w:r>
      <w:r>
        <w:rPr>
          <w:lang w:bidi="en-US"/>
        </w:rPr>
        <w:t xml:space="preserve">for </w:t>
      </w:r>
      <w:r w:rsidRPr="00B25BA2">
        <w:rPr>
          <w:lang w:bidi="en-US"/>
        </w:rPr>
        <w:t xml:space="preserve">powder, not more than 5000 cfu/g </w:t>
      </w:r>
      <w:r>
        <w:rPr>
          <w:lang w:bidi="en-US"/>
        </w:rPr>
        <w:t xml:space="preserve">for </w:t>
      </w:r>
      <w:r w:rsidRPr="00B25BA2">
        <w:rPr>
          <w:lang w:bidi="en-US"/>
        </w:rPr>
        <w:t xml:space="preserve">liquid  </w:t>
      </w:r>
    </w:p>
    <w:p w14:paraId="2DA56E43" w14:textId="76B12A63" w:rsidR="00A7422F" w:rsidRPr="00B25BA2" w:rsidRDefault="00A7422F" w:rsidP="00510B7A">
      <w:pPr>
        <w:pStyle w:val="FSCtSubpara"/>
        <w:widowControl/>
        <w:numPr>
          <w:ilvl w:val="0"/>
          <w:numId w:val="17"/>
        </w:numPr>
        <w:tabs>
          <w:tab w:val="clear" w:pos="2268"/>
          <w:tab w:val="left" w:pos="2835"/>
        </w:tabs>
        <w:spacing w:before="120" w:after="120"/>
        <w:ind w:left="2835" w:hanging="567"/>
        <w:rPr>
          <w:lang w:bidi="en-US"/>
        </w:rPr>
      </w:pPr>
      <w:r>
        <w:rPr>
          <w:lang w:bidi="en-US"/>
        </w:rPr>
        <w:t>c</w:t>
      </w:r>
      <w:r w:rsidRPr="00B25BA2">
        <w:rPr>
          <w:lang w:bidi="en-US"/>
        </w:rPr>
        <w:t>oliform/</w:t>
      </w:r>
      <w:r w:rsidR="00FA19AA">
        <w:rPr>
          <w:lang w:bidi="en-US"/>
        </w:rPr>
        <w:t>E</w:t>
      </w:r>
      <w:r w:rsidR="00FA19AA" w:rsidRPr="00B25BA2">
        <w:rPr>
          <w:lang w:bidi="en-US"/>
        </w:rPr>
        <w:t>nterobacteriaceae</w:t>
      </w:r>
      <w:r>
        <w:rPr>
          <w:lang w:bidi="en-US"/>
        </w:rPr>
        <w:t>—a</w:t>
      </w:r>
      <w:r w:rsidRPr="00B25BA2">
        <w:rPr>
          <w:lang w:bidi="en-US"/>
        </w:rPr>
        <w:t xml:space="preserve">bsent in 11 g </w:t>
      </w:r>
      <w:r>
        <w:rPr>
          <w:lang w:bidi="en-US"/>
        </w:rPr>
        <w:t xml:space="preserve">for </w:t>
      </w:r>
      <w:r w:rsidRPr="00B25BA2">
        <w:rPr>
          <w:lang w:bidi="en-US"/>
        </w:rPr>
        <w:t xml:space="preserve">powder, absent in 22 mL </w:t>
      </w:r>
      <w:r>
        <w:rPr>
          <w:lang w:bidi="en-US"/>
        </w:rPr>
        <w:t xml:space="preserve">for </w:t>
      </w:r>
      <w:r w:rsidRPr="00B25BA2">
        <w:rPr>
          <w:lang w:bidi="en-US"/>
        </w:rPr>
        <w:t>liquid</w:t>
      </w:r>
    </w:p>
    <w:p w14:paraId="3E83C067" w14:textId="5410185B" w:rsidR="00A7422F" w:rsidRPr="00B25BA2" w:rsidRDefault="00CA1247" w:rsidP="00510B7A">
      <w:pPr>
        <w:pStyle w:val="FSCtSubpara"/>
        <w:widowControl/>
        <w:numPr>
          <w:ilvl w:val="0"/>
          <w:numId w:val="17"/>
        </w:numPr>
        <w:tabs>
          <w:tab w:val="clear" w:pos="2268"/>
          <w:tab w:val="left" w:pos="2835"/>
        </w:tabs>
        <w:spacing w:before="120" w:after="120"/>
        <w:ind w:left="2835" w:hanging="567"/>
        <w:rPr>
          <w:lang w:bidi="en-US"/>
        </w:rPr>
      </w:pPr>
      <w:r>
        <w:rPr>
          <w:i/>
          <w:lang w:bidi="en-US"/>
        </w:rPr>
        <w:t>C</w:t>
      </w:r>
      <w:r w:rsidRPr="005D7118">
        <w:rPr>
          <w:i/>
          <w:lang w:bidi="en-US"/>
        </w:rPr>
        <w:t xml:space="preserve">ronobacter </w:t>
      </w:r>
      <w:r w:rsidR="00A7422F" w:rsidRPr="005D7118">
        <w:rPr>
          <w:i/>
          <w:lang w:bidi="en-US"/>
        </w:rPr>
        <w:t>sakazakii</w:t>
      </w:r>
      <w:r w:rsidR="00A7422F">
        <w:rPr>
          <w:lang w:bidi="en-US"/>
        </w:rPr>
        <w:t>—a</w:t>
      </w:r>
      <w:r w:rsidR="00A7422F" w:rsidRPr="00B25BA2">
        <w:rPr>
          <w:lang w:bidi="en-US"/>
        </w:rPr>
        <w:t xml:space="preserve">bsent in 100 g </w:t>
      </w:r>
      <w:r w:rsidR="00A7422F">
        <w:rPr>
          <w:lang w:bidi="en-US"/>
        </w:rPr>
        <w:t xml:space="preserve">for </w:t>
      </w:r>
      <w:r w:rsidR="00A7422F" w:rsidRPr="00B25BA2">
        <w:rPr>
          <w:lang w:bidi="en-US"/>
        </w:rPr>
        <w:t xml:space="preserve">powder, absent in 200 mL </w:t>
      </w:r>
      <w:r w:rsidR="00A7422F">
        <w:rPr>
          <w:lang w:bidi="en-US"/>
        </w:rPr>
        <w:t xml:space="preserve">for </w:t>
      </w:r>
      <w:r w:rsidR="00A7422F" w:rsidRPr="00B25BA2">
        <w:rPr>
          <w:lang w:bidi="en-US"/>
        </w:rPr>
        <w:t>liquid</w:t>
      </w:r>
    </w:p>
    <w:p w14:paraId="5F7914DF" w14:textId="77777777" w:rsidR="00A7422F" w:rsidRPr="00B25BA2" w:rsidRDefault="00A7422F" w:rsidP="00510B7A">
      <w:pPr>
        <w:pStyle w:val="FSCtSubpara"/>
        <w:widowControl/>
        <w:numPr>
          <w:ilvl w:val="0"/>
          <w:numId w:val="17"/>
        </w:numPr>
        <w:tabs>
          <w:tab w:val="clear" w:pos="2268"/>
          <w:tab w:val="left" w:pos="2835"/>
        </w:tabs>
        <w:spacing w:before="120" w:after="120"/>
        <w:ind w:left="2835" w:hanging="567"/>
        <w:rPr>
          <w:lang w:bidi="en-US"/>
        </w:rPr>
      </w:pPr>
      <w:r>
        <w:rPr>
          <w:lang w:bidi="en-US"/>
        </w:rPr>
        <w:t>y</w:t>
      </w:r>
      <w:r w:rsidRPr="00B25BA2">
        <w:rPr>
          <w:lang w:bidi="en-US"/>
        </w:rPr>
        <w:t>east and mould</w:t>
      </w:r>
      <w:r>
        <w:rPr>
          <w:lang w:bidi="en-US"/>
        </w:rPr>
        <w:t>—n</w:t>
      </w:r>
      <w:r w:rsidRPr="00B25BA2">
        <w:rPr>
          <w:lang w:bidi="en-US"/>
        </w:rPr>
        <w:t>ot more than 100 cfu/g</w:t>
      </w:r>
      <w:r w:rsidRPr="00777343">
        <w:rPr>
          <w:lang w:bidi="en-US"/>
        </w:rPr>
        <w:t xml:space="preserve"> </w:t>
      </w:r>
      <w:r>
        <w:rPr>
          <w:lang w:bidi="en-US"/>
        </w:rPr>
        <w:t xml:space="preserve">for </w:t>
      </w:r>
      <w:r w:rsidRPr="00B25BA2">
        <w:rPr>
          <w:lang w:bidi="en-US"/>
        </w:rPr>
        <w:t xml:space="preserve">powder, not more than 50 cfu/g </w:t>
      </w:r>
      <w:r>
        <w:rPr>
          <w:lang w:bidi="en-US"/>
        </w:rPr>
        <w:t xml:space="preserve">for </w:t>
      </w:r>
      <w:r w:rsidRPr="00B25BA2">
        <w:rPr>
          <w:lang w:bidi="en-US"/>
        </w:rPr>
        <w:t>liquid</w:t>
      </w:r>
    </w:p>
    <w:p w14:paraId="4322869A" w14:textId="77777777" w:rsidR="00A7422F" w:rsidRPr="00B25BA2" w:rsidRDefault="00A7422F" w:rsidP="00510B7A">
      <w:pPr>
        <w:pStyle w:val="FSCtSubpara"/>
        <w:widowControl/>
        <w:numPr>
          <w:ilvl w:val="0"/>
          <w:numId w:val="17"/>
        </w:numPr>
        <w:tabs>
          <w:tab w:val="clear" w:pos="2268"/>
          <w:tab w:val="left" w:pos="2835"/>
        </w:tabs>
        <w:spacing w:before="120" w:after="120"/>
        <w:ind w:left="2268" w:firstLine="0"/>
        <w:rPr>
          <w:lang w:bidi="en-US"/>
        </w:rPr>
      </w:pPr>
      <w:r>
        <w:rPr>
          <w:lang w:bidi="en-US"/>
        </w:rPr>
        <w:t>a</w:t>
      </w:r>
      <w:r w:rsidRPr="00B25BA2">
        <w:rPr>
          <w:lang w:bidi="en-US"/>
        </w:rPr>
        <w:t>flatoxin M1</w:t>
      </w:r>
      <w:r>
        <w:rPr>
          <w:lang w:bidi="en-US"/>
        </w:rPr>
        <w:t>—n</w:t>
      </w:r>
      <w:r w:rsidRPr="00B25BA2">
        <w:rPr>
          <w:lang w:bidi="en-US"/>
        </w:rPr>
        <w:t xml:space="preserve">ot more than 0.025 μg/kg </w:t>
      </w:r>
    </w:p>
    <w:p w14:paraId="1E92A8C0" w14:textId="77777777" w:rsidR="00A7422F" w:rsidRPr="00B25BA2" w:rsidRDefault="00A7422F" w:rsidP="00510B7A">
      <w:pPr>
        <w:pStyle w:val="FSCtSubpara"/>
        <w:widowControl/>
        <w:numPr>
          <w:ilvl w:val="0"/>
          <w:numId w:val="17"/>
        </w:numPr>
        <w:tabs>
          <w:tab w:val="left" w:pos="2835"/>
        </w:tabs>
        <w:spacing w:before="120" w:after="120"/>
        <w:ind w:left="2268" w:firstLine="0"/>
        <w:rPr>
          <w:lang w:bidi="en-US"/>
        </w:rPr>
      </w:pPr>
      <w:r>
        <w:rPr>
          <w:lang w:bidi="en-US"/>
        </w:rPr>
        <w:t>e</w:t>
      </w:r>
      <w:r w:rsidRPr="00B25BA2">
        <w:rPr>
          <w:lang w:bidi="en-US"/>
        </w:rPr>
        <w:t>ndotoxins</w:t>
      </w:r>
      <w:r>
        <w:rPr>
          <w:lang w:bidi="en-US"/>
        </w:rPr>
        <w:t>—n</w:t>
      </w:r>
      <w:r w:rsidRPr="00B25BA2">
        <w:rPr>
          <w:lang w:bidi="en-US"/>
        </w:rPr>
        <w:t xml:space="preserve">ot more than </w:t>
      </w:r>
      <w:r>
        <w:rPr>
          <w:lang w:bidi="en-US"/>
        </w:rPr>
        <w:t>10</w:t>
      </w:r>
      <w:r w:rsidRPr="00B25BA2">
        <w:rPr>
          <w:lang w:bidi="en-US"/>
        </w:rPr>
        <w:t xml:space="preserve"> EU/</w:t>
      </w:r>
      <w:r>
        <w:rPr>
          <w:lang w:bidi="en-US"/>
        </w:rPr>
        <w:t>m</w:t>
      </w:r>
      <w:r w:rsidRPr="00B25BA2">
        <w:rPr>
          <w:lang w:bidi="en-US"/>
        </w:rPr>
        <w:t>g</w:t>
      </w:r>
    </w:p>
    <w:p w14:paraId="7B608951" w14:textId="77777777" w:rsidR="00A7422F" w:rsidRPr="00B25BA2" w:rsidRDefault="00A7422F" w:rsidP="00510B7A">
      <w:pPr>
        <w:pStyle w:val="FSCtSubpara"/>
        <w:widowControl/>
        <w:numPr>
          <w:ilvl w:val="0"/>
          <w:numId w:val="17"/>
        </w:numPr>
        <w:tabs>
          <w:tab w:val="left" w:pos="2835"/>
        </w:tabs>
        <w:spacing w:before="120" w:after="120"/>
        <w:ind w:left="2268" w:firstLine="0"/>
        <w:rPr>
          <w:lang w:bidi="en-US"/>
        </w:rPr>
      </w:pPr>
      <w:r w:rsidRPr="00B25BA2">
        <w:rPr>
          <w:lang w:bidi="en-US"/>
        </w:rPr>
        <w:t>GMO detection</w:t>
      </w:r>
      <w:r>
        <w:rPr>
          <w:lang w:bidi="en-US"/>
        </w:rPr>
        <w:t>—</w:t>
      </w:r>
      <w:r w:rsidRPr="00B25BA2">
        <w:rPr>
          <w:lang w:bidi="en-US"/>
        </w:rPr>
        <w:t>not detected</w:t>
      </w:r>
      <w:r>
        <w:rPr>
          <w:lang w:bidi="en-US"/>
        </w:rPr>
        <w:t>.</w:t>
      </w:r>
    </w:p>
    <w:p w14:paraId="4180D1C6" w14:textId="77777777" w:rsidR="00A7422F" w:rsidRDefault="00A7422F" w:rsidP="00510B7A">
      <w:pPr>
        <w:pStyle w:val="FSCDraftingitem"/>
        <w:rPr>
          <w:lang w:bidi="en-US"/>
        </w:rPr>
      </w:pPr>
      <w:r w:rsidRPr="00573CA7">
        <w:rPr>
          <w:b/>
          <w:lang w:bidi="en-US"/>
        </w:rPr>
        <w:t>[</w:t>
      </w:r>
      <w:r>
        <w:rPr>
          <w:b/>
          <w:lang w:bidi="en-US"/>
        </w:rPr>
        <w:t>3</w:t>
      </w:r>
      <w:r w:rsidRPr="00573CA7">
        <w:rPr>
          <w:b/>
          <w:lang w:bidi="en-US"/>
        </w:rPr>
        <w:t>]</w:t>
      </w:r>
      <w:r w:rsidRPr="00573CA7">
        <w:rPr>
          <w:b/>
          <w:lang w:bidi="en-US"/>
        </w:rPr>
        <w:tab/>
        <w:t>Schedule 26</w:t>
      </w:r>
      <w:r>
        <w:rPr>
          <w:lang w:bidi="en-US"/>
        </w:rPr>
        <w:t xml:space="preserve"> is </w:t>
      </w:r>
      <w:r w:rsidRPr="00573CA7">
        <w:t>varied</w:t>
      </w:r>
      <w:r>
        <w:rPr>
          <w:lang w:bidi="en-US"/>
        </w:rPr>
        <w:t xml:space="preserve"> by </w:t>
      </w:r>
    </w:p>
    <w:p w14:paraId="05FC81C2" w14:textId="77777777" w:rsidR="00A7422F" w:rsidRDefault="00A7422F" w:rsidP="00510B7A">
      <w:pPr>
        <w:pStyle w:val="FSCDraftingitem"/>
      </w:pPr>
      <w:r>
        <w:rPr>
          <w:lang w:bidi="en-US"/>
        </w:rPr>
        <w:t>[3.1]</w:t>
      </w:r>
      <w:r>
        <w:rPr>
          <w:lang w:bidi="en-US"/>
        </w:rPr>
        <w:tab/>
        <w:t>omitting item 1 in the table to subsection S</w:t>
      </w:r>
      <w:r>
        <w:t>26—3</w:t>
      </w:r>
      <w:r>
        <w:rPr>
          <w:lang w:bidi="en-US"/>
        </w:rPr>
        <w:t xml:space="preserve">(7), </w:t>
      </w:r>
      <w:r w:rsidRPr="005C7DDE">
        <w:rPr>
          <w:lang w:bidi="en-US"/>
        </w:rPr>
        <w:t>substituting</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A7422F" w14:paraId="594285AA" w14:textId="77777777" w:rsidTr="00A7422F">
        <w:trPr>
          <w:cantSplit/>
          <w:trHeight w:val="329"/>
        </w:trPr>
        <w:tc>
          <w:tcPr>
            <w:tcW w:w="284" w:type="dxa"/>
            <w:tcBorders>
              <w:top w:val="nil"/>
              <w:left w:val="nil"/>
              <w:right w:val="nil"/>
            </w:tcBorders>
            <w:tcMar>
              <w:top w:w="0" w:type="dxa"/>
              <w:left w:w="108" w:type="dxa"/>
              <w:bottom w:w="0" w:type="dxa"/>
              <w:right w:w="108" w:type="dxa"/>
            </w:tcMar>
            <w:hideMark/>
          </w:tcPr>
          <w:p w14:paraId="430AA760" w14:textId="77777777" w:rsidR="00A7422F" w:rsidRDefault="00A7422F" w:rsidP="00510B7A">
            <w:pPr>
              <w:widowControl/>
              <w:spacing w:before="120" w:after="120"/>
              <w:rPr>
                <w:rFonts w:cs="Arial"/>
                <w:sz w:val="18"/>
                <w:szCs w:val="18"/>
                <w:lang w:eastAsia="en-GB"/>
              </w:rPr>
            </w:pPr>
            <w:r>
              <w:rPr>
                <w:rFonts w:cs="Arial"/>
                <w:b/>
                <w:bCs/>
                <w:sz w:val="18"/>
                <w:szCs w:val="18"/>
                <w:lang w:eastAsia="en-GB"/>
              </w:rPr>
              <w:t>1</w:t>
            </w:r>
          </w:p>
        </w:tc>
        <w:tc>
          <w:tcPr>
            <w:tcW w:w="2126" w:type="dxa"/>
            <w:tcBorders>
              <w:top w:val="nil"/>
              <w:left w:val="nil"/>
              <w:right w:val="nil"/>
            </w:tcBorders>
            <w:tcMar>
              <w:top w:w="0" w:type="dxa"/>
              <w:left w:w="108" w:type="dxa"/>
              <w:bottom w:w="0" w:type="dxa"/>
              <w:right w:w="108" w:type="dxa"/>
            </w:tcMar>
            <w:hideMark/>
          </w:tcPr>
          <w:p w14:paraId="0AC3D4B0" w14:textId="77777777" w:rsidR="00A7422F" w:rsidRDefault="00A7422F" w:rsidP="00510B7A">
            <w:pPr>
              <w:widowControl/>
              <w:spacing w:before="120" w:after="120"/>
              <w:rPr>
                <w:rFonts w:cs="Arial"/>
                <w:sz w:val="18"/>
                <w:szCs w:val="18"/>
                <w:lang w:eastAsia="en-GB"/>
              </w:rPr>
            </w:pPr>
            <w:r>
              <w:rPr>
                <w:rFonts w:cs="Arial"/>
                <w:b/>
                <w:bCs/>
                <w:sz w:val="18"/>
                <w:szCs w:val="18"/>
                <w:lang w:eastAsia="en-GB"/>
              </w:rPr>
              <w:t>2′-fucosyllactose</w:t>
            </w:r>
          </w:p>
        </w:tc>
        <w:tc>
          <w:tcPr>
            <w:tcW w:w="2693" w:type="dxa"/>
            <w:tcBorders>
              <w:top w:val="nil"/>
              <w:left w:val="nil"/>
              <w:right w:val="nil"/>
            </w:tcBorders>
            <w:hideMark/>
          </w:tcPr>
          <w:p w14:paraId="15C30A01" w14:textId="77777777" w:rsidR="00A7422F" w:rsidRDefault="00A7422F" w:rsidP="00510B7A">
            <w:pPr>
              <w:pStyle w:val="ListParagraph"/>
              <w:widowControl/>
              <w:numPr>
                <w:ilvl w:val="0"/>
                <w:numId w:val="18"/>
              </w:numPr>
              <w:spacing w:before="120" w:after="120"/>
              <w:ind w:left="423" w:right="36" w:hanging="286"/>
              <w:contextualSpacing w:val="0"/>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93" w:type="dxa"/>
            <w:tcBorders>
              <w:top w:val="nil"/>
              <w:left w:val="nil"/>
              <w:right w:val="nil"/>
            </w:tcBorders>
            <w:tcMar>
              <w:top w:w="0" w:type="dxa"/>
              <w:left w:w="108" w:type="dxa"/>
              <w:bottom w:w="0" w:type="dxa"/>
              <w:right w:w="108" w:type="dxa"/>
            </w:tcMar>
            <w:hideMark/>
          </w:tcPr>
          <w:p w14:paraId="76638653" w14:textId="77777777" w:rsidR="00A7422F" w:rsidRDefault="00A7422F" w:rsidP="00510B7A">
            <w:pPr>
              <w:widowControl/>
              <w:spacing w:before="120" w:after="120"/>
              <w:rPr>
                <w:rFonts w:cs="Arial"/>
                <w:sz w:val="18"/>
                <w:szCs w:val="18"/>
                <w:lang w:eastAsia="en-GB"/>
              </w:rPr>
            </w:pPr>
          </w:p>
        </w:tc>
        <w:tc>
          <w:tcPr>
            <w:tcW w:w="3260" w:type="dxa"/>
            <w:tcBorders>
              <w:top w:val="nil"/>
              <w:left w:val="nil"/>
              <w:right w:val="nil"/>
            </w:tcBorders>
            <w:hideMark/>
          </w:tcPr>
          <w:p w14:paraId="632526AB" w14:textId="77777777" w:rsidR="00A7422F" w:rsidRDefault="00A7422F" w:rsidP="00510B7A">
            <w:pPr>
              <w:pStyle w:val="ListParagraph"/>
              <w:widowControl/>
              <w:numPr>
                <w:ilvl w:val="0"/>
                <w:numId w:val="19"/>
              </w:numPr>
              <w:spacing w:before="120" w:after="120"/>
              <w:ind w:left="305" w:right="34" w:hanging="283"/>
              <w:contextualSpacing w:val="0"/>
              <w:rPr>
                <w:rFonts w:cs="Arial"/>
                <w:sz w:val="18"/>
                <w:szCs w:val="18"/>
                <w:lang w:eastAsia="en-GB"/>
              </w:rPr>
            </w:pPr>
            <w:r>
              <w:rPr>
                <w:rFonts w:cs="Arial"/>
                <w:sz w:val="18"/>
                <w:szCs w:val="18"/>
                <w:lang w:eastAsia="en-AU"/>
              </w:rPr>
              <w:t>May only be added to infant formula products</w:t>
            </w:r>
            <w:r>
              <w:rPr>
                <w:sz w:val="18"/>
                <w:szCs w:val="18"/>
              </w:rPr>
              <w:t>.</w:t>
            </w:r>
          </w:p>
          <w:p w14:paraId="23496C87" w14:textId="77777777" w:rsidR="00A7422F" w:rsidRDefault="00A7422F" w:rsidP="00510B7A">
            <w:pPr>
              <w:pStyle w:val="ListParagraph"/>
              <w:widowControl/>
              <w:numPr>
                <w:ilvl w:val="0"/>
                <w:numId w:val="19"/>
              </w:numPr>
              <w:spacing w:before="120" w:after="120"/>
              <w:ind w:left="305" w:right="36" w:hanging="283"/>
              <w:contextualSpacing w:val="0"/>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52D53AED" w14:textId="77777777" w:rsidR="00A7422F" w:rsidRDefault="00A7422F" w:rsidP="00510B7A">
            <w:pPr>
              <w:pStyle w:val="ListParagraph"/>
              <w:widowControl/>
              <w:numPr>
                <w:ilvl w:val="0"/>
                <w:numId w:val="19"/>
              </w:numPr>
              <w:spacing w:before="120" w:after="120"/>
              <w:ind w:left="305" w:right="36" w:hanging="283"/>
              <w:contextualSpacing w:val="0"/>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A7422F" w:rsidRPr="0034428B" w14:paraId="32F1FBBC" w14:textId="77777777" w:rsidTr="00A7422F">
        <w:trPr>
          <w:cantSplit/>
          <w:trHeight w:val="329"/>
        </w:trPr>
        <w:tc>
          <w:tcPr>
            <w:tcW w:w="284" w:type="dxa"/>
            <w:tcBorders>
              <w:top w:val="nil"/>
              <w:left w:val="nil"/>
              <w:right w:val="nil"/>
            </w:tcBorders>
            <w:tcMar>
              <w:top w:w="0" w:type="dxa"/>
              <w:left w:w="108" w:type="dxa"/>
              <w:bottom w:w="0" w:type="dxa"/>
              <w:right w:w="108" w:type="dxa"/>
            </w:tcMar>
          </w:tcPr>
          <w:p w14:paraId="680EB65A" w14:textId="77777777" w:rsidR="00A7422F" w:rsidRPr="0034428B" w:rsidRDefault="00A7422F" w:rsidP="00510B7A">
            <w:pPr>
              <w:widowControl/>
              <w:spacing w:before="120" w:after="120"/>
              <w:rPr>
                <w:rFonts w:cs="Arial"/>
                <w:b/>
                <w:bCs/>
                <w:sz w:val="18"/>
                <w:szCs w:val="18"/>
                <w:lang w:eastAsia="en-GB"/>
              </w:rPr>
            </w:pPr>
          </w:p>
        </w:tc>
        <w:tc>
          <w:tcPr>
            <w:tcW w:w="2126" w:type="dxa"/>
            <w:tcBorders>
              <w:top w:val="nil"/>
              <w:left w:val="nil"/>
              <w:right w:val="nil"/>
            </w:tcBorders>
            <w:tcMar>
              <w:top w:w="0" w:type="dxa"/>
              <w:left w:w="108" w:type="dxa"/>
              <w:bottom w:w="0" w:type="dxa"/>
              <w:right w:w="108" w:type="dxa"/>
            </w:tcMar>
          </w:tcPr>
          <w:p w14:paraId="1776949B" w14:textId="77777777" w:rsidR="00A7422F" w:rsidRPr="0034428B" w:rsidRDefault="00A7422F" w:rsidP="00510B7A">
            <w:pPr>
              <w:widowControl/>
              <w:spacing w:before="120" w:after="120"/>
              <w:rPr>
                <w:rFonts w:cs="Arial"/>
                <w:b/>
                <w:bCs/>
                <w:sz w:val="18"/>
                <w:szCs w:val="18"/>
                <w:lang w:eastAsia="en-GB"/>
              </w:rPr>
            </w:pPr>
          </w:p>
        </w:tc>
        <w:tc>
          <w:tcPr>
            <w:tcW w:w="2693" w:type="dxa"/>
            <w:tcBorders>
              <w:top w:val="nil"/>
              <w:left w:val="nil"/>
              <w:right w:val="nil"/>
            </w:tcBorders>
          </w:tcPr>
          <w:p w14:paraId="3B2FC617" w14:textId="77777777" w:rsidR="00A7422F" w:rsidRPr="0034428B" w:rsidRDefault="00A7422F" w:rsidP="00510B7A">
            <w:pPr>
              <w:pStyle w:val="ListParagraph"/>
              <w:widowControl/>
              <w:numPr>
                <w:ilvl w:val="0"/>
                <w:numId w:val="18"/>
              </w:numPr>
              <w:spacing w:before="120" w:after="120"/>
              <w:ind w:left="423" w:right="36" w:hanging="286"/>
              <w:contextualSpacing w:val="0"/>
              <w:rPr>
                <w:rFonts w:cs="Arial"/>
                <w:i/>
                <w:sz w:val="18"/>
                <w:szCs w:val="18"/>
                <w:lang w:eastAsia="en-GB"/>
              </w:rPr>
            </w:pPr>
            <w:r w:rsidRPr="0034428B">
              <w:rPr>
                <w:i/>
                <w:sz w:val="18"/>
                <w:szCs w:val="18"/>
              </w:rPr>
              <w:t>Escherichia coli</w:t>
            </w:r>
            <w:r w:rsidRPr="0034428B">
              <w:rPr>
                <w:sz w:val="18"/>
                <w:szCs w:val="18"/>
              </w:rPr>
              <w:t xml:space="preserve"> BL21 containing the gene for alpha-1,2-fucosyltransferase from </w:t>
            </w:r>
            <w:r w:rsidRPr="0034428B">
              <w:rPr>
                <w:i/>
                <w:sz w:val="18"/>
                <w:szCs w:val="18"/>
              </w:rPr>
              <w:t>Escherichia coli</w:t>
            </w:r>
            <w:r w:rsidRPr="0034428B">
              <w:rPr>
                <w:sz w:val="18"/>
                <w:szCs w:val="18"/>
              </w:rPr>
              <w:t xml:space="preserve"> O126</w:t>
            </w:r>
          </w:p>
        </w:tc>
        <w:tc>
          <w:tcPr>
            <w:tcW w:w="993" w:type="dxa"/>
            <w:tcBorders>
              <w:top w:val="nil"/>
              <w:left w:val="nil"/>
              <w:right w:val="nil"/>
            </w:tcBorders>
            <w:tcMar>
              <w:top w:w="0" w:type="dxa"/>
              <w:left w:w="108" w:type="dxa"/>
              <w:bottom w:w="0" w:type="dxa"/>
              <w:right w:w="108" w:type="dxa"/>
            </w:tcMar>
          </w:tcPr>
          <w:p w14:paraId="32CF3AA5" w14:textId="77777777" w:rsidR="00A7422F" w:rsidRPr="0034428B" w:rsidRDefault="00A7422F" w:rsidP="00510B7A">
            <w:pPr>
              <w:widowControl/>
              <w:spacing w:before="120" w:after="120"/>
              <w:rPr>
                <w:rFonts w:cs="Arial"/>
                <w:sz w:val="18"/>
                <w:szCs w:val="18"/>
                <w:lang w:eastAsia="en-GB"/>
              </w:rPr>
            </w:pPr>
          </w:p>
        </w:tc>
        <w:tc>
          <w:tcPr>
            <w:tcW w:w="3260" w:type="dxa"/>
            <w:tcBorders>
              <w:top w:val="nil"/>
              <w:left w:val="nil"/>
              <w:right w:val="nil"/>
            </w:tcBorders>
          </w:tcPr>
          <w:p w14:paraId="5309A10F" w14:textId="77777777" w:rsidR="00A7422F" w:rsidRPr="0034428B" w:rsidRDefault="00A7422F" w:rsidP="00510B7A">
            <w:pPr>
              <w:pStyle w:val="FSCtblMain"/>
              <w:numPr>
                <w:ilvl w:val="0"/>
                <w:numId w:val="20"/>
              </w:numPr>
              <w:spacing w:before="120" w:after="120"/>
              <w:ind w:left="289" w:hanging="283"/>
              <w:rPr>
                <w:szCs w:val="18"/>
                <w:lang w:eastAsia="en-GB" w:bidi="en-US"/>
              </w:rPr>
            </w:pPr>
            <w:r w:rsidRPr="0034428B">
              <w:rPr>
                <w:szCs w:val="18"/>
                <w:lang w:bidi="en-US"/>
              </w:rPr>
              <w:t>May only be added to infant formula products.</w:t>
            </w:r>
          </w:p>
          <w:p w14:paraId="3374A37A" w14:textId="77777777" w:rsidR="00A7422F" w:rsidRPr="00F1592D" w:rsidRDefault="00A7422F" w:rsidP="00510B7A">
            <w:pPr>
              <w:pStyle w:val="ListParagraph"/>
              <w:widowControl/>
              <w:numPr>
                <w:ilvl w:val="0"/>
                <w:numId w:val="20"/>
              </w:numPr>
              <w:spacing w:before="120" w:after="120"/>
              <w:ind w:left="286" w:right="36" w:hanging="283"/>
              <w:contextualSpacing w:val="0"/>
              <w:rPr>
                <w:rFonts w:cs="Arial"/>
                <w:sz w:val="18"/>
                <w:szCs w:val="18"/>
                <w:lang w:eastAsia="en-GB"/>
              </w:rPr>
            </w:pPr>
            <w:r w:rsidRPr="00F1592D">
              <w:rPr>
                <w:rFonts w:cs="Arial"/>
                <w:sz w:val="18"/>
                <w:szCs w:val="18"/>
                <w:lang w:eastAsia="en-GB"/>
              </w:rPr>
              <w:t>During the exclusive use period, may only be sold under the brand CHR. HANSEN</w:t>
            </w:r>
            <w:r>
              <w:rPr>
                <w:rFonts w:cs="Arial"/>
                <w:sz w:val="18"/>
                <w:szCs w:val="18"/>
                <w:lang w:eastAsia="en-GB"/>
              </w:rPr>
              <w:t>™</w:t>
            </w:r>
            <w:r w:rsidRPr="00F1592D">
              <w:rPr>
                <w:rFonts w:cs="Arial"/>
                <w:sz w:val="18"/>
                <w:szCs w:val="18"/>
                <w:lang w:eastAsia="en-GB"/>
              </w:rPr>
              <w:t xml:space="preserve"> 2′-FL.</w:t>
            </w:r>
          </w:p>
          <w:p w14:paraId="1CB04FCC" w14:textId="3B500194" w:rsidR="00A7422F" w:rsidRPr="0034428B" w:rsidRDefault="00A7422F" w:rsidP="00510B7A">
            <w:pPr>
              <w:pStyle w:val="ListParagraph"/>
              <w:widowControl/>
              <w:numPr>
                <w:ilvl w:val="0"/>
                <w:numId w:val="20"/>
              </w:numPr>
              <w:spacing w:before="120" w:after="120"/>
              <w:ind w:left="289" w:right="34" w:hanging="283"/>
              <w:contextualSpacing w:val="0"/>
              <w:rPr>
                <w:rFonts w:cs="Arial"/>
                <w:sz w:val="18"/>
                <w:szCs w:val="18"/>
                <w:lang w:eastAsia="en-AU"/>
              </w:rPr>
            </w:pPr>
            <w:r w:rsidRPr="0034428B">
              <w:rPr>
                <w:sz w:val="18"/>
                <w:szCs w:val="18"/>
                <w:lang w:eastAsia="en-GB"/>
              </w:rPr>
              <w:t xml:space="preserve">For the purposes of condition 2 above, </w:t>
            </w:r>
            <w:r w:rsidRPr="0034428B">
              <w:rPr>
                <w:b/>
                <w:sz w:val="18"/>
                <w:szCs w:val="18"/>
                <w:lang w:eastAsia="en-GB"/>
              </w:rPr>
              <w:t>exclusive use period</w:t>
            </w:r>
            <w:r w:rsidRPr="0034428B">
              <w:rPr>
                <w:sz w:val="18"/>
                <w:szCs w:val="18"/>
                <w:lang w:eastAsia="en-GB"/>
              </w:rPr>
              <w:t xml:space="preserve"> means the period commencing on the date of gazettal of the </w:t>
            </w:r>
            <w:r w:rsidRPr="0034428B">
              <w:rPr>
                <w:i/>
                <w:sz w:val="18"/>
                <w:szCs w:val="18"/>
                <w:lang w:eastAsia="en-GB"/>
              </w:rPr>
              <w:t>Food Standards (Application A1190 – 2</w:t>
            </w:r>
            <w:r w:rsidRPr="00EC22F2">
              <w:rPr>
                <w:sz w:val="18"/>
              </w:rPr>
              <w:t>′</w:t>
            </w:r>
            <w:r w:rsidRPr="0034428B">
              <w:rPr>
                <w:i/>
                <w:sz w:val="18"/>
                <w:szCs w:val="18"/>
                <w:lang w:eastAsia="en-GB"/>
              </w:rPr>
              <w:t>-FL in infant formula and other products) Variation</w:t>
            </w:r>
            <w:r w:rsidRPr="0034428B">
              <w:rPr>
                <w:sz w:val="18"/>
                <w:szCs w:val="18"/>
                <w:lang w:eastAsia="en-GB"/>
              </w:rPr>
              <w:t xml:space="preserve"> and ending 15 months after that date</w:t>
            </w:r>
            <w:r w:rsidR="0024469B">
              <w:rPr>
                <w:sz w:val="18"/>
                <w:szCs w:val="18"/>
                <w:lang w:eastAsia="en-GB"/>
              </w:rPr>
              <w:t>.</w:t>
            </w:r>
          </w:p>
        </w:tc>
      </w:tr>
    </w:tbl>
    <w:p w14:paraId="08531EBC" w14:textId="77777777" w:rsidR="00A7422F" w:rsidRPr="000D7852" w:rsidRDefault="00A7422F" w:rsidP="00510B7A">
      <w:pPr>
        <w:pStyle w:val="FSCDraftingitem"/>
        <w:rPr>
          <w:rStyle w:val="CommentReference"/>
        </w:rPr>
      </w:pPr>
      <w:r>
        <w:rPr>
          <w:lang w:bidi="en-US"/>
        </w:rPr>
        <w:t>[3.2]</w:t>
      </w:r>
      <w:r>
        <w:rPr>
          <w:lang w:bidi="en-US"/>
        </w:rPr>
        <w:tab/>
        <w:t>omitting “</w:t>
      </w:r>
      <w:r w:rsidRPr="0068561C">
        <w:t>2′-</w:t>
      </w:r>
      <w:r>
        <w:t xml:space="preserve">O-fucosyllactose” </w:t>
      </w:r>
      <w:r>
        <w:rPr>
          <w:lang w:bidi="en-US"/>
        </w:rPr>
        <w:t>in item 2 in the table to subsection S</w:t>
      </w:r>
      <w:r>
        <w:t>26—3</w:t>
      </w:r>
      <w:r>
        <w:rPr>
          <w:lang w:bidi="en-US"/>
        </w:rPr>
        <w:t>(7)</w:t>
      </w:r>
      <w:r>
        <w:t>, substituting “2′</w:t>
      </w:r>
      <w:r w:rsidRPr="007B2F80">
        <w:t>-fucosyllactose</w:t>
      </w:r>
      <w:r>
        <w:t>”</w:t>
      </w:r>
    </w:p>
    <w:p w14:paraId="77CED80D" w14:textId="77777777" w:rsidR="00A7422F" w:rsidRPr="00B63989" w:rsidRDefault="00A7422F" w:rsidP="00510B7A">
      <w:pPr>
        <w:pStyle w:val="FSCDraftingitem"/>
      </w:pPr>
      <w:r w:rsidDel="00BF0AD7">
        <w:rPr>
          <w:rStyle w:val="CommentReference"/>
        </w:rPr>
        <w:t xml:space="preserve"> </w:t>
      </w:r>
      <w:r w:rsidRPr="00E41CE3">
        <w:rPr>
          <w:b/>
          <w:lang w:bidi="en-US"/>
        </w:rPr>
        <w:t>[</w:t>
      </w:r>
      <w:r>
        <w:rPr>
          <w:b/>
          <w:lang w:bidi="en-US"/>
        </w:rPr>
        <w:t>4</w:t>
      </w:r>
      <w:r w:rsidRPr="00E41CE3">
        <w:rPr>
          <w:b/>
          <w:lang w:bidi="en-US"/>
        </w:rPr>
        <w:t>]</w:t>
      </w:r>
      <w:r w:rsidRPr="00E41CE3">
        <w:rPr>
          <w:b/>
          <w:lang w:bidi="en-US"/>
        </w:rPr>
        <w:tab/>
        <w:t>Schedule 29</w:t>
      </w:r>
      <w:r>
        <w:rPr>
          <w:lang w:bidi="en-US"/>
        </w:rPr>
        <w:t xml:space="preserve"> is </w:t>
      </w:r>
      <w:r w:rsidRPr="00573CA7">
        <w:t>varied</w:t>
      </w:r>
      <w:r>
        <w:rPr>
          <w:lang w:bidi="en-US"/>
        </w:rPr>
        <w:t xml:space="preserve"> by omitting </w:t>
      </w:r>
      <w:r>
        <w:t>"</w:t>
      </w:r>
      <w:r w:rsidRPr="005C7DDE">
        <w:rPr>
          <w:lang w:bidi="en-US"/>
        </w:rPr>
        <w:t>2′-O-fucosyllactose” (wherever occurring)</w:t>
      </w:r>
      <w:r>
        <w:rPr>
          <w:lang w:bidi="en-US"/>
        </w:rPr>
        <w:t xml:space="preserve"> in the table to </w:t>
      </w:r>
      <w:r w:rsidRPr="00516601">
        <w:t>section 2.9.1—5</w:t>
      </w:r>
      <w:r w:rsidRPr="005C7DDE">
        <w:rPr>
          <w:lang w:bidi="en-US"/>
        </w:rPr>
        <w:t>, substituting “2′-fucosyllactose”</w:t>
      </w:r>
    </w:p>
    <w:p w14:paraId="6C75BD5B" w14:textId="7DD12867" w:rsidR="00456BD5" w:rsidRPr="00795D86" w:rsidRDefault="00A7422F" w:rsidP="00510B7A">
      <w:pPr>
        <w:widowControl/>
        <w:spacing w:before="120" w:after="120"/>
        <w:rPr>
          <w:lang w:bidi="ar-SA"/>
        </w:rPr>
      </w:pPr>
      <w:r w:rsidRPr="00932F14">
        <w:br w:type="page"/>
      </w:r>
      <w:bookmarkStart w:id="176" w:name="_Toc120358598"/>
      <w:bookmarkStart w:id="177" w:name="_Toc175381460"/>
    </w:p>
    <w:p w14:paraId="7BEE38ED" w14:textId="7D8E22C4" w:rsidR="00456BD5" w:rsidRDefault="005E06C0" w:rsidP="00403A64">
      <w:pPr>
        <w:pStyle w:val="Heading2"/>
        <w:spacing w:before="120" w:after="120"/>
        <w:ind w:left="0" w:firstLine="0"/>
        <w:jc w:val="both"/>
      </w:pPr>
      <w:bookmarkStart w:id="178" w:name="_Toc81995117"/>
      <w:r w:rsidRPr="00932F14">
        <w:lastRenderedPageBreak/>
        <w:t xml:space="preserve">Attachment </w:t>
      </w:r>
      <w:r>
        <w:t xml:space="preserve">B – </w:t>
      </w:r>
      <w:r w:rsidR="00456BD5">
        <w:t>Explanatory Statement</w:t>
      </w:r>
      <w:bookmarkEnd w:id="178"/>
    </w:p>
    <w:p w14:paraId="24450CA3" w14:textId="7AACA438" w:rsidR="00456BD5" w:rsidRPr="005F2A8C" w:rsidRDefault="005F2A8C" w:rsidP="00403A64">
      <w:pPr>
        <w:spacing w:before="120" w:after="120"/>
        <w:jc w:val="both"/>
        <w:rPr>
          <w:b/>
          <w:lang w:val="en-AU" w:eastAsia="en-GB" w:bidi="ar-SA"/>
        </w:rPr>
      </w:pPr>
      <w:r>
        <w:rPr>
          <w:b/>
          <w:lang w:val="en-AU" w:eastAsia="en-GB" w:bidi="ar-SA"/>
        </w:rPr>
        <w:t>1.</w:t>
      </w:r>
      <w:r>
        <w:rPr>
          <w:b/>
          <w:lang w:val="en-AU" w:eastAsia="en-GB" w:bidi="ar-SA"/>
        </w:rPr>
        <w:tab/>
        <w:t>Authority</w:t>
      </w:r>
    </w:p>
    <w:p w14:paraId="63EC1329" w14:textId="2C5A9AD5" w:rsidR="00456BD5" w:rsidRPr="000E1758" w:rsidRDefault="00456BD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005F2A8C">
        <w:rPr>
          <w:rFonts w:eastAsia="Calibri" w:cs="Arial"/>
          <w:bCs/>
          <w:szCs w:val="22"/>
          <w:lang w:val="en-AU" w:bidi="ar-SA"/>
        </w:rPr>
        <w:t xml:space="preserve"> (the Code).</w:t>
      </w:r>
    </w:p>
    <w:p w14:paraId="2E47AD6B" w14:textId="5810147B" w:rsidR="00456BD5" w:rsidRPr="000E1758" w:rsidRDefault="00456BD5" w:rsidP="00403A64">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w:t>
      </w:r>
      <w:r w:rsidR="005F2A8C">
        <w:rPr>
          <w:rFonts w:eastAsia="Calibri" w:cs="Arial"/>
          <w:bCs/>
          <w:szCs w:val="22"/>
          <w:lang w:val="en-AU" w:bidi="ar-SA"/>
        </w:rPr>
        <w:t xml:space="preserve">n of food regulatory measures. </w:t>
      </w:r>
    </w:p>
    <w:p w14:paraId="7059258A" w14:textId="7489C51B" w:rsidR="00456BD5" w:rsidRPr="00D13E34" w:rsidRDefault="00456BD5" w:rsidP="00403A64">
      <w:pPr>
        <w:widowControl/>
        <w:autoSpaceDE w:val="0"/>
        <w:autoSpaceDN w:val="0"/>
        <w:adjustRightInd w:val="0"/>
        <w:spacing w:before="120" w:after="120"/>
        <w:jc w:val="both"/>
        <w:rPr>
          <w:rFonts w:eastAsia="Calibri" w:cs="Arial"/>
          <w:bCs/>
          <w:szCs w:val="22"/>
          <w:lang w:val="en-AU" w:bidi="ar-SA"/>
        </w:rPr>
      </w:pPr>
      <w:r w:rsidRPr="000E1758">
        <w:rPr>
          <w:rFonts w:eastAsia="Calibri" w:cs="Arial"/>
          <w:bCs/>
          <w:szCs w:val="22"/>
          <w:lang w:val="en-AU" w:bidi="ar-SA"/>
        </w:rPr>
        <w:t xml:space="preserve">The Authority accepted </w:t>
      </w:r>
      <w:r w:rsidR="00861FA8" w:rsidRPr="000E1758">
        <w:rPr>
          <w:rFonts w:eastAsia="Calibri" w:cs="Arial"/>
          <w:bCs/>
          <w:szCs w:val="22"/>
          <w:lang w:val="en-AU" w:bidi="ar-SA"/>
        </w:rPr>
        <w:t xml:space="preserve">A1190 which sought to </w:t>
      </w:r>
      <w:r w:rsidR="00861FA8" w:rsidRPr="000E1758">
        <w:rPr>
          <w:szCs w:val="22"/>
        </w:rPr>
        <w:t xml:space="preserve">permit the voluntary addition of 2′-fucosyllactose (2′-FL) from a new </w:t>
      </w:r>
      <w:r w:rsidR="00861FA8" w:rsidRPr="000E1758">
        <w:t>microbial source</w:t>
      </w:r>
      <w:r w:rsidR="00861FA8" w:rsidRPr="000E1758">
        <w:rPr>
          <w:szCs w:val="22"/>
        </w:rPr>
        <w:t xml:space="preserve">, as a nutritive substance, to infant formula products and formulated supplementary foods for young children (FSFYC). </w:t>
      </w:r>
      <w:r w:rsidRPr="000E1758">
        <w:rPr>
          <w:rFonts w:eastAsia="Calibri" w:cs="Arial"/>
          <w:bCs/>
          <w:szCs w:val="22"/>
          <w:lang w:val="en-AU" w:bidi="ar-SA"/>
        </w:rPr>
        <w:t xml:space="preserve">The Authority considered </w:t>
      </w:r>
      <w:r w:rsidR="005F1E79">
        <w:rPr>
          <w:rFonts w:eastAsia="Calibri" w:cs="Arial"/>
          <w:bCs/>
          <w:szCs w:val="22"/>
          <w:lang w:val="en-AU" w:bidi="ar-SA"/>
        </w:rPr>
        <w:t>the Application</w:t>
      </w:r>
      <w:r w:rsidRPr="000E1758">
        <w:rPr>
          <w:rFonts w:eastAsia="Calibri" w:cs="Arial"/>
          <w:bCs/>
          <w:szCs w:val="22"/>
          <w:lang w:val="en-AU" w:bidi="ar-SA"/>
        </w:rPr>
        <w:t xml:space="preserve"> in accordance with Division 1 of Part 3 and </w:t>
      </w:r>
      <w:r w:rsidR="005F2A8C">
        <w:rPr>
          <w:rFonts w:eastAsia="Calibri" w:cs="Arial"/>
          <w:bCs/>
          <w:szCs w:val="22"/>
          <w:lang w:val="en-AU" w:bidi="ar-SA"/>
        </w:rPr>
        <w:t xml:space="preserve">has approved a draft </w:t>
      </w:r>
      <w:r w:rsidR="00C009A7">
        <w:rPr>
          <w:rFonts w:eastAsia="Calibri" w:cs="Arial"/>
          <w:bCs/>
          <w:szCs w:val="22"/>
          <w:lang w:val="en-AU" w:bidi="ar-SA"/>
        </w:rPr>
        <w:t>variation</w:t>
      </w:r>
      <w:r w:rsidR="005F2A8C">
        <w:rPr>
          <w:rFonts w:eastAsia="Calibri" w:cs="Arial"/>
          <w:bCs/>
          <w:szCs w:val="22"/>
          <w:lang w:val="en-AU" w:bidi="ar-SA"/>
        </w:rPr>
        <w:t xml:space="preserve">. </w:t>
      </w:r>
    </w:p>
    <w:p w14:paraId="1553F09E" w14:textId="0E9009A6" w:rsidR="00456BD5" w:rsidRPr="00D13E34" w:rsidRDefault="00456BD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C24193">
        <w:rPr>
          <w:rFonts w:cs="Helvetica"/>
          <w:lang w:val="en-AU"/>
        </w:rPr>
        <w:t>Food Ministers’ Meeting</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27A5318E" w14:textId="0A2D5614" w:rsidR="00456BD5" w:rsidRPr="005F2A8C" w:rsidRDefault="00456BD5" w:rsidP="00403A64">
      <w:pPr>
        <w:widowControl/>
        <w:autoSpaceDE w:val="0"/>
        <w:autoSpaceDN w:val="0"/>
        <w:adjustRightInd w:val="0"/>
        <w:spacing w:before="120" w:after="120"/>
        <w:jc w:val="both"/>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7E347E" w14:textId="058806B8" w:rsidR="00456BD5" w:rsidRPr="005F2A8C" w:rsidRDefault="005F2A8C" w:rsidP="00403A64">
      <w:pPr>
        <w:spacing w:before="120" w:after="120"/>
        <w:jc w:val="both"/>
        <w:rPr>
          <w:b/>
          <w:lang w:val="en-AU" w:eastAsia="en-GB" w:bidi="ar-SA"/>
        </w:rPr>
      </w:pPr>
      <w:r>
        <w:rPr>
          <w:b/>
          <w:lang w:val="en-AU" w:eastAsia="en-GB" w:bidi="ar-SA"/>
        </w:rPr>
        <w:t>2.</w:t>
      </w:r>
      <w:r>
        <w:rPr>
          <w:b/>
          <w:lang w:val="en-AU" w:eastAsia="en-GB" w:bidi="ar-SA"/>
        </w:rPr>
        <w:tab/>
        <w:t xml:space="preserve">Purpose </w:t>
      </w:r>
    </w:p>
    <w:p w14:paraId="0A42D0EB" w14:textId="4B6BDC18" w:rsidR="00861FA8" w:rsidRDefault="00456BD5" w:rsidP="00403A64">
      <w:pPr>
        <w:widowControl/>
        <w:spacing w:before="120" w:after="120"/>
        <w:jc w:val="both"/>
        <w:rPr>
          <w:lang w:val="en-AU" w:eastAsia="en-GB" w:bidi="ar-SA"/>
        </w:rPr>
      </w:pPr>
      <w:r>
        <w:rPr>
          <w:lang w:val="en-AU" w:eastAsia="en-GB" w:bidi="ar-SA"/>
        </w:rPr>
        <w:t xml:space="preserve">The Authority has approved </w:t>
      </w:r>
      <w:r w:rsidR="00861FA8">
        <w:rPr>
          <w:lang w:val="en-AU" w:eastAsia="en-GB" w:bidi="ar-SA"/>
        </w:rPr>
        <w:t>a draft variation to the Code to:</w:t>
      </w:r>
    </w:p>
    <w:p w14:paraId="40557261" w14:textId="77777777" w:rsidR="00861FA8" w:rsidRDefault="00861FA8" w:rsidP="00403A64">
      <w:pPr>
        <w:pStyle w:val="FSBullet1"/>
        <w:numPr>
          <w:ilvl w:val="0"/>
          <w:numId w:val="6"/>
        </w:numPr>
        <w:spacing w:before="120" w:after="120"/>
        <w:ind w:left="567" w:hanging="567"/>
        <w:jc w:val="both"/>
      </w:pPr>
      <w:r>
        <w:t>amend Schedule 26 to permit the addition of 2′-FL derived from a new microbial source  in infant formula products subject to certain conditions, including an exclusive use period of 15 months for the applicant’s brand of 2′-FL; and</w:t>
      </w:r>
    </w:p>
    <w:p w14:paraId="2C76789C" w14:textId="72838A09" w:rsidR="00861FA8" w:rsidRPr="005F2A8C" w:rsidRDefault="00861FA8" w:rsidP="00403A64">
      <w:pPr>
        <w:pStyle w:val="FSBullet1"/>
        <w:numPr>
          <w:ilvl w:val="0"/>
          <w:numId w:val="6"/>
        </w:numPr>
        <w:spacing w:before="120" w:after="120"/>
        <w:ind w:left="567" w:hanging="567"/>
        <w:jc w:val="both"/>
        <w:rPr>
          <w:szCs w:val="22"/>
        </w:rPr>
      </w:pPr>
      <w:r>
        <w:rPr>
          <w:szCs w:val="22"/>
        </w:rPr>
        <w:t>insert prescribed specifications for this 2′-FL into Schedule 3.</w:t>
      </w:r>
    </w:p>
    <w:p w14:paraId="25164526" w14:textId="5DCD977C" w:rsidR="00456BD5" w:rsidRPr="005F2A8C" w:rsidRDefault="00861FA8" w:rsidP="00403A64">
      <w:pPr>
        <w:widowControl/>
        <w:spacing w:before="120" w:after="120"/>
        <w:jc w:val="both"/>
        <w:rPr>
          <w:lang w:bidi="ar-SA"/>
        </w:rPr>
      </w:pPr>
      <w:r>
        <w:rPr>
          <w:szCs w:val="22"/>
        </w:rPr>
        <w:t xml:space="preserve">The </w:t>
      </w:r>
      <w:r w:rsidR="00851C3E">
        <w:rPr>
          <w:szCs w:val="22"/>
        </w:rPr>
        <w:t xml:space="preserve">approved </w:t>
      </w:r>
      <w:r>
        <w:rPr>
          <w:szCs w:val="22"/>
        </w:rPr>
        <w:t>draft variation includes consequential amendments to the Code as a result of the above amendments.</w:t>
      </w:r>
    </w:p>
    <w:p w14:paraId="3AF722DD" w14:textId="3847CE26" w:rsidR="00456BD5" w:rsidRPr="005F2A8C" w:rsidRDefault="00456BD5" w:rsidP="00403A64">
      <w:pPr>
        <w:spacing w:before="120" w:after="120"/>
        <w:jc w:val="both"/>
        <w:rPr>
          <w:b/>
          <w:lang w:val="en-AU" w:eastAsia="en-GB" w:bidi="ar-SA"/>
        </w:rPr>
      </w:pPr>
      <w:r w:rsidRPr="000576EB">
        <w:rPr>
          <w:b/>
          <w:lang w:val="en-AU" w:eastAsia="en-GB" w:bidi="ar-SA"/>
        </w:rPr>
        <w:t>3.</w:t>
      </w:r>
      <w:r w:rsidRPr="000576EB">
        <w:rPr>
          <w:b/>
          <w:lang w:val="en-AU" w:eastAsia="en-GB" w:bidi="ar-SA"/>
        </w:rPr>
        <w:tab/>
        <w:t>Docu</w:t>
      </w:r>
      <w:r w:rsidR="005F2A8C">
        <w:rPr>
          <w:b/>
          <w:lang w:val="en-AU" w:eastAsia="en-GB" w:bidi="ar-SA"/>
        </w:rPr>
        <w:t>ments incorporated by reference</w:t>
      </w:r>
    </w:p>
    <w:p w14:paraId="1F47CDD5" w14:textId="5C4BF48D" w:rsidR="00861FA8" w:rsidRDefault="00E17545" w:rsidP="00403A64">
      <w:pPr>
        <w:widowControl/>
        <w:autoSpaceDE w:val="0"/>
        <w:autoSpaceDN w:val="0"/>
        <w:adjustRightInd w:val="0"/>
        <w:spacing w:before="120" w:after="120"/>
        <w:jc w:val="both"/>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approved draft </w:t>
      </w:r>
      <w:r w:rsidRPr="00D13E34">
        <w:rPr>
          <w:rFonts w:eastAsia="Calibri" w:cs="Arial"/>
          <w:bCs/>
          <w:szCs w:val="22"/>
          <w:lang w:val="en-AU" w:bidi="ar-SA"/>
        </w:rPr>
        <w:t>variation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r w:rsidR="00456BD5" w:rsidRPr="00D13E34">
        <w:rPr>
          <w:rFonts w:eastAsia="Calibri" w:cs="Arial"/>
          <w:bCs/>
          <w:szCs w:val="22"/>
          <w:lang w:val="en-AU" w:bidi="ar-SA"/>
        </w:rPr>
        <w:t>.</w:t>
      </w:r>
    </w:p>
    <w:p w14:paraId="6DA3F12E" w14:textId="608FEB35" w:rsidR="00456BD5" w:rsidRPr="005F2A8C" w:rsidRDefault="00861FA8" w:rsidP="00403A64">
      <w:pPr>
        <w:widowControl/>
        <w:autoSpaceDE w:val="0"/>
        <w:autoSpaceDN w:val="0"/>
        <w:adjustRightInd w:val="0"/>
        <w:spacing w:before="120" w:after="120"/>
        <w:jc w:val="both"/>
        <w:rPr>
          <w:rFonts w:eastAsia="Calibri" w:cs="Arial"/>
          <w:bCs/>
          <w:szCs w:val="22"/>
          <w:lang w:val="en-AU" w:bidi="ar-SA"/>
        </w:rPr>
      </w:pPr>
      <w:r w:rsidRPr="00224B3E">
        <w:rPr>
          <w:rFonts w:eastAsia="Calibri" w:cs="Arial"/>
          <w:bCs/>
          <w:szCs w:val="22"/>
          <w:lang w:val="en-AU" w:bidi="ar-SA"/>
        </w:rPr>
        <w:t xml:space="preserve">However, the </w:t>
      </w:r>
      <w:r w:rsidR="00BA77C9">
        <w:rPr>
          <w:rFonts w:eastAsia="Calibri" w:cs="Arial"/>
          <w:bCs/>
          <w:szCs w:val="22"/>
          <w:lang w:val="en-AU" w:bidi="ar-SA"/>
        </w:rPr>
        <w:t xml:space="preserve">approved </w:t>
      </w:r>
      <w:r>
        <w:rPr>
          <w:rFonts w:eastAsia="Calibri" w:cs="Arial"/>
          <w:bCs/>
          <w:szCs w:val="22"/>
          <w:lang w:val="en-AU" w:bidi="ar-SA"/>
        </w:rPr>
        <w:t>draft variation</w:t>
      </w:r>
      <w:r w:rsidRPr="00224B3E">
        <w:rPr>
          <w:rFonts w:eastAsia="Calibri" w:cs="Arial"/>
          <w:bCs/>
          <w:szCs w:val="22"/>
          <w:lang w:val="en-AU" w:bidi="ar-SA"/>
        </w:rPr>
        <w:t xml:space="preserve"> will vary Schedule 3 of the Code which does incorporate documents by reference. Section 1.1.1—15 of the Code requires certain substances </w:t>
      </w:r>
      <w:r>
        <w:rPr>
          <w:rFonts w:eastAsia="Calibri" w:cs="Arial"/>
          <w:bCs/>
          <w:szCs w:val="22"/>
          <w:lang w:val="en-AU" w:bidi="ar-SA"/>
        </w:rPr>
        <w:t xml:space="preserve">(such as substances used as nutritive substances) </w:t>
      </w:r>
      <w:r w:rsidRPr="00224B3E">
        <w:rPr>
          <w:rFonts w:eastAsia="Calibri" w:cs="Arial"/>
          <w:bCs/>
          <w:szCs w:val="22"/>
          <w:lang w:val="en-AU" w:bidi="ar-SA"/>
        </w:rPr>
        <w:t>to comply with any relevant identity and purity specifications list</w:t>
      </w:r>
      <w:r>
        <w:rPr>
          <w:rFonts w:eastAsia="Calibri" w:cs="Arial"/>
          <w:bCs/>
          <w:szCs w:val="22"/>
          <w:lang w:val="en-AU" w:bidi="ar-SA"/>
        </w:rPr>
        <w:t>ed in Schedule 3.</w:t>
      </w:r>
      <w:r w:rsidRPr="00224B3E">
        <w:rPr>
          <w:rFonts w:eastAsia="Calibri" w:cs="Arial"/>
          <w:bCs/>
          <w:szCs w:val="22"/>
          <w:lang w:val="en-AU" w:bidi="ar-SA"/>
        </w:rPr>
        <w:t xml:space="preserve"> Schedule 3 incorporates documents by reference to set specifications for various substances in the circumstances specified in that Schedule.  The documents incorporated include: the Joint FAO/WHO Expert Committee on Food Additives (JECFA) Compendium of Food Additive Specifications (FAO/WHO </w:t>
      </w:r>
      <w:r w:rsidR="009538CD" w:rsidRPr="00224B3E">
        <w:rPr>
          <w:rFonts w:eastAsia="Calibri" w:cs="Arial"/>
          <w:bCs/>
          <w:szCs w:val="22"/>
          <w:lang w:val="en-AU" w:bidi="ar-SA"/>
        </w:rPr>
        <w:t>201</w:t>
      </w:r>
      <w:r w:rsidR="009538CD">
        <w:rPr>
          <w:rFonts w:eastAsia="Calibri" w:cs="Arial"/>
          <w:bCs/>
          <w:szCs w:val="22"/>
          <w:lang w:val="en-AU" w:bidi="ar-SA"/>
        </w:rPr>
        <w:t>9</w:t>
      </w:r>
      <w:r w:rsidRPr="00224B3E">
        <w:rPr>
          <w:rFonts w:eastAsia="Calibri" w:cs="Arial"/>
          <w:bCs/>
          <w:szCs w:val="22"/>
          <w:lang w:val="en-AU" w:bidi="ar-SA"/>
        </w:rPr>
        <w:t>); the United States Pharmacopeial Convention (</w:t>
      </w:r>
      <w:r w:rsidR="009538CD" w:rsidRPr="00224B3E">
        <w:rPr>
          <w:rFonts w:eastAsia="Calibri" w:cs="Arial"/>
          <w:bCs/>
          <w:szCs w:val="22"/>
          <w:lang w:val="en-AU" w:bidi="ar-SA"/>
        </w:rPr>
        <w:t>20</w:t>
      </w:r>
      <w:r w:rsidR="009538CD">
        <w:rPr>
          <w:rFonts w:eastAsia="Calibri" w:cs="Arial"/>
          <w:bCs/>
          <w:szCs w:val="22"/>
          <w:lang w:val="en-AU" w:bidi="ar-SA"/>
        </w:rPr>
        <w:t>20</w:t>
      </w:r>
      <w:r w:rsidRPr="00224B3E">
        <w:rPr>
          <w:rFonts w:eastAsia="Calibri" w:cs="Arial"/>
          <w:bCs/>
          <w:szCs w:val="22"/>
          <w:lang w:val="en-AU" w:bidi="ar-SA"/>
        </w:rPr>
        <w:t>) Food Chemicals Codex (1</w:t>
      </w:r>
      <w:r w:rsidR="009538CD">
        <w:rPr>
          <w:rFonts w:eastAsia="Calibri" w:cs="Arial"/>
          <w:bCs/>
          <w:szCs w:val="22"/>
          <w:lang w:val="en-AU" w:bidi="ar-SA"/>
        </w:rPr>
        <w:t>2</w:t>
      </w:r>
      <w:r w:rsidRPr="00224B3E">
        <w:rPr>
          <w:rFonts w:eastAsia="Calibri" w:cs="Arial"/>
          <w:bCs/>
          <w:szCs w:val="22"/>
          <w:lang w:val="en-AU" w:bidi="ar-SA"/>
        </w:rPr>
        <w:t>th edition); and the Commission Regulation (EU) No 231/2012.</w:t>
      </w:r>
    </w:p>
    <w:p w14:paraId="50B668E6" w14:textId="396264AC" w:rsidR="00456BD5" w:rsidRPr="005F2A8C" w:rsidRDefault="00456BD5" w:rsidP="00403A64">
      <w:pPr>
        <w:spacing w:before="120" w:after="120"/>
        <w:jc w:val="both"/>
        <w:rPr>
          <w:b/>
          <w:lang w:val="en-AU" w:eastAsia="en-GB" w:bidi="ar-SA"/>
        </w:rPr>
      </w:pPr>
      <w:r w:rsidRPr="000576EB">
        <w:rPr>
          <w:b/>
          <w:lang w:val="en-AU" w:eastAsia="en-GB" w:bidi="ar-SA"/>
        </w:rPr>
        <w:t>4.</w:t>
      </w:r>
      <w:r w:rsidRPr="000576EB">
        <w:rPr>
          <w:b/>
          <w:lang w:val="en-AU" w:eastAsia="en-GB" w:bidi="ar-SA"/>
        </w:rPr>
        <w:tab/>
        <w:t>Consu</w:t>
      </w:r>
      <w:r w:rsidR="005F2A8C">
        <w:rPr>
          <w:b/>
          <w:lang w:val="en-AU" w:eastAsia="en-GB" w:bidi="ar-SA"/>
        </w:rPr>
        <w:t>ltation</w:t>
      </w:r>
    </w:p>
    <w:p w14:paraId="662A67C8" w14:textId="50D3A68F" w:rsidR="00456BD5" w:rsidRPr="00861FA8" w:rsidRDefault="00861FA8" w:rsidP="00403A64">
      <w:pPr>
        <w:spacing w:before="120" w:after="120"/>
        <w:jc w:val="both"/>
        <w:rPr>
          <w:color w:val="FF0000"/>
          <w:lang w:val="en-AU"/>
        </w:rPr>
      </w:pPr>
      <w:r>
        <w:rPr>
          <w:szCs w:val="22"/>
        </w:rPr>
        <w:t xml:space="preserve">In accordance with the procedure in Division 1 of Part 3 of the FSANZ Act, </w:t>
      </w:r>
      <w:r>
        <w:rPr>
          <w:rFonts w:eastAsia="Calibri" w:cs="Arial"/>
          <w:bCs/>
          <w:szCs w:val="22"/>
          <w:lang w:val="en-AU" w:bidi="ar-SA"/>
        </w:rPr>
        <w:t>the Authority</w:t>
      </w:r>
      <w:r>
        <w:rPr>
          <w:szCs w:val="22"/>
        </w:rPr>
        <w:t xml:space="preserve">’s consideration of application A1190 </w:t>
      </w:r>
      <w:r w:rsidRPr="00E36175">
        <w:rPr>
          <w:szCs w:val="22"/>
        </w:rPr>
        <w:t xml:space="preserve">included one round of public </w:t>
      </w:r>
      <w:r w:rsidR="00456BD5" w:rsidRPr="00E36175">
        <w:rPr>
          <w:szCs w:val="22"/>
        </w:rPr>
        <w:t xml:space="preserve">consultation following an assessment and the preparation of a draft </w:t>
      </w:r>
      <w:r w:rsidR="00172C55">
        <w:rPr>
          <w:szCs w:val="22"/>
        </w:rPr>
        <w:t>variation</w:t>
      </w:r>
      <w:r w:rsidR="00172C55" w:rsidRPr="00E36175">
        <w:rPr>
          <w:szCs w:val="22"/>
        </w:rPr>
        <w:t xml:space="preserve"> </w:t>
      </w:r>
      <w:r w:rsidR="00456BD5" w:rsidRPr="00E36175">
        <w:rPr>
          <w:szCs w:val="22"/>
        </w:rPr>
        <w:t xml:space="preserve">and associated report. Submissions were called for on </w:t>
      </w:r>
      <w:r w:rsidRPr="00E36175">
        <w:rPr>
          <w:szCs w:val="22"/>
        </w:rPr>
        <w:t>22</w:t>
      </w:r>
      <w:r w:rsidR="00456BD5" w:rsidRPr="00E36175">
        <w:rPr>
          <w:szCs w:val="22"/>
        </w:rPr>
        <w:t xml:space="preserve"> </w:t>
      </w:r>
      <w:r w:rsidRPr="00E36175">
        <w:rPr>
          <w:szCs w:val="22"/>
        </w:rPr>
        <w:t>July</w:t>
      </w:r>
      <w:r w:rsidR="00456BD5" w:rsidRPr="00E36175">
        <w:rPr>
          <w:szCs w:val="22"/>
        </w:rPr>
        <w:t xml:space="preserve"> 20</w:t>
      </w:r>
      <w:r w:rsidRPr="00E36175">
        <w:rPr>
          <w:szCs w:val="22"/>
        </w:rPr>
        <w:t>21</w:t>
      </w:r>
      <w:r w:rsidR="00456BD5" w:rsidRPr="00E36175">
        <w:rPr>
          <w:szCs w:val="22"/>
        </w:rPr>
        <w:t xml:space="preserve"> for a </w:t>
      </w:r>
      <w:r w:rsidRPr="00E36175">
        <w:rPr>
          <w:szCs w:val="22"/>
        </w:rPr>
        <w:t>four</w:t>
      </w:r>
      <w:r w:rsidR="00456BD5" w:rsidRPr="00E36175">
        <w:rPr>
          <w:szCs w:val="22"/>
        </w:rPr>
        <w:t xml:space="preserve">-week consultation period. </w:t>
      </w:r>
    </w:p>
    <w:p w14:paraId="3711262A" w14:textId="718BD67A" w:rsidR="00456BD5" w:rsidRPr="005F2A8C" w:rsidRDefault="00861FA8" w:rsidP="00403A64">
      <w:pPr>
        <w:widowControl/>
        <w:spacing w:before="120" w:after="120"/>
        <w:jc w:val="both"/>
        <w:rPr>
          <w:rFonts w:eastAsia="Calibri" w:cs="Arial"/>
          <w:bCs/>
          <w:szCs w:val="22"/>
          <w:lang w:val="en-AU" w:bidi="ar-SA"/>
        </w:rPr>
      </w:pPr>
      <w:r>
        <w:t xml:space="preserve">A Regulation Impact Statement (RIS) was not required because the Office of Best Practice Regulation (OBPR) granted </w:t>
      </w:r>
      <w:r w:rsidR="007155E2">
        <w:t xml:space="preserve">the Authority </w:t>
      </w:r>
      <w:r>
        <w:t xml:space="preserve">a standing exemption, permitting the voluntary use </w:t>
      </w:r>
      <w:r>
        <w:lastRenderedPageBreak/>
        <w:t>of genetically modified food (OBPR correspondence dated 24 November 2010, reference 12065), and the voluntary addition of nutritive substances to foods (OBPR correspondence dated 16 April 2013, reference 14943).</w:t>
      </w:r>
      <w:r w:rsidDel="00C16F80">
        <w:rPr>
          <w:rFonts w:eastAsia="Calibri" w:cs="Arial"/>
          <w:bCs/>
          <w:szCs w:val="22"/>
          <w:lang w:val="en-AU" w:bidi="ar-SA"/>
        </w:rPr>
        <w:t xml:space="preserve"> </w:t>
      </w:r>
    </w:p>
    <w:p w14:paraId="07D41A16" w14:textId="6C97648B" w:rsidR="00456BD5" w:rsidRPr="005F2A8C" w:rsidRDefault="00456BD5" w:rsidP="00403A64">
      <w:pPr>
        <w:widowControl/>
        <w:spacing w:before="120" w:after="120"/>
        <w:jc w:val="both"/>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w:t>
      </w:r>
      <w:r w:rsidR="005F2A8C">
        <w:rPr>
          <w:rFonts w:eastAsiaTheme="minorHAnsi" w:cs="Arial"/>
          <w:b/>
          <w:bCs/>
          <w:szCs w:val="22"/>
          <w:lang w:val="en-AU" w:bidi="ar-SA"/>
        </w:rPr>
        <w:t>uman rights</w:t>
      </w:r>
    </w:p>
    <w:p w14:paraId="720FDF70" w14:textId="27D71D64" w:rsidR="00456BD5" w:rsidRDefault="00456BD5" w:rsidP="00403A64">
      <w:pPr>
        <w:spacing w:before="120" w:after="120"/>
        <w:jc w:val="both"/>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w:t>
      </w:r>
      <w:r w:rsidR="005F2A8C">
        <w:rPr>
          <w:rFonts w:eastAsiaTheme="minorHAnsi"/>
          <w:lang w:val="en-AU" w:bidi="ar-SA"/>
        </w:rPr>
        <w:t>er section 94 of the FSANZ Act.</w:t>
      </w:r>
    </w:p>
    <w:p w14:paraId="03B36AA7" w14:textId="5D285CA0" w:rsidR="00456BD5" w:rsidRPr="00861FA8" w:rsidRDefault="00456BD5" w:rsidP="00510B7A">
      <w:pPr>
        <w:spacing w:before="120" w:after="120"/>
        <w:rPr>
          <w:b/>
          <w:lang w:val="en-AU" w:eastAsia="en-GB" w:bidi="ar-SA"/>
        </w:rPr>
      </w:pPr>
      <w:r w:rsidRPr="00432A42">
        <w:rPr>
          <w:b/>
        </w:rPr>
        <w:t>6.</w:t>
      </w:r>
      <w:r w:rsidRPr="00432A42">
        <w:rPr>
          <w:b/>
        </w:rPr>
        <w:tab/>
      </w:r>
      <w:r>
        <w:rPr>
          <w:b/>
          <w:lang w:val="en-AU" w:eastAsia="en-GB" w:bidi="ar-SA"/>
        </w:rPr>
        <w:t>Variation</w:t>
      </w:r>
    </w:p>
    <w:p w14:paraId="041DAD45" w14:textId="540CFF51" w:rsidR="00861FA8" w:rsidRPr="00284DCC" w:rsidRDefault="00861FA8" w:rsidP="00510B7A">
      <w:pPr>
        <w:widowControl/>
        <w:spacing w:before="120" w:after="120"/>
        <w:jc w:val="both"/>
      </w:pPr>
      <w:r w:rsidRPr="00284DCC">
        <w:t>The amendments in the Schedule</w:t>
      </w:r>
      <w:r>
        <w:t xml:space="preserve"> </w:t>
      </w:r>
      <w:r w:rsidRPr="00284DCC">
        <w:t>take effect in nume</w:t>
      </w:r>
      <w:r>
        <w:t>rical order i.e. according to item and sub-item numbers.</w:t>
      </w:r>
    </w:p>
    <w:p w14:paraId="018CD4C9" w14:textId="77777777" w:rsidR="00861FA8" w:rsidRPr="00CA75C3" w:rsidRDefault="00861FA8" w:rsidP="00510B7A">
      <w:pPr>
        <w:widowControl/>
        <w:spacing w:before="120" w:after="120"/>
        <w:jc w:val="both"/>
        <w:rPr>
          <w:b/>
        </w:rPr>
      </w:pPr>
      <w:r w:rsidRPr="00CA75C3">
        <w:rPr>
          <w:b/>
        </w:rPr>
        <w:t xml:space="preserve">Item [1] </w:t>
      </w:r>
    </w:p>
    <w:p w14:paraId="30F6578D" w14:textId="70B9B59F" w:rsidR="00861FA8" w:rsidRDefault="00861FA8" w:rsidP="00510B7A">
      <w:pPr>
        <w:widowControl/>
        <w:spacing w:before="120" w:after="120"/>
        <w:jc w:val="both"/>
      </w:pPr>
      <w:r w:rsidRPr="00CA75C3">
        <w:rPr>
          <w:b/>
        </w:rPr>
        <w:t>Item [1]</w:t>
      </w:r>
      <w:r>
        <w:rPr>
          <w:i/>
        </w:rPr>
        <w:t xml:space="preserve"> </w:t>
      </w:r>
      <w:r w:rsidR="004E346D">
        <w:t>varies</w:t>
      </w:r>
      <w:r>
        <w:t xml:space="preserve"> Standard 2.9.1 by omitting references to ‘</w:t>
      </w:r>
      <w:r w:rsidRPr="005C7DDE">
        <w:t>2′-O-fucosyllactose</w:t>
      </w:r>
      <w:r>
        <w:t>’</w:t>
      </w:r>
      <w:r w:rsidRPr="005C7DDE">
        <w:t xml:space="preserve"> wherever occurring</w:t>
      </w:r>
      <w:r>
        <w:t xml:space="preserve"> in sub</w:t>
      </w:r>
      <w:r w:rsidRPr="00C56562">
        <w:t xml:space="preserve">section </w:t>
      </w:r>
      <w:r>
        <w:t>2.9.1—7(2)</w:t>
      </w:r>
      <w:r w:rsidRPr="005C7DDE">
        <w:t xml:space="preserve">, </w:t>
      </w:r>
      <w:r>
        <w:t xml:space="preserve">and </w:t>
      </w:r>
      <w:r w:rsidRPr="005C7DDE">
        <w:t xml:space="preserve">substituting </w:t>
      </w:r>
      <w:r>
        <w:t>them with references to ‘</w:t>
      </w:r>
      <w:r w:rsidRPr="005C7DDE">
        <w:t>2′-fucosyllactose</w:t>
      </w:r>
      <w:r>
        <w:t>’. The revised reference reflects the preferred substance name for al</w:t>
      </w:r>
      <w:r w:rsidR="005F2A8C">
        <w:t xml:space="preserve">l permitted 2′-FL in the Code. </w:t>
      </w:r>
    </w:p>
    <w:p w14:paraId="758998DE" w14:textId="45CE0F09" w:rsidR="00861FA8" w:rsidRDefault="00861FA8" w:rsidP="00510B7A">
      <w:pPr>
        <w:widowControl/>
        <w:spacing w:before="120" w:after="120"/>
      </w:pPr>
      <w:r>
        <w:t xml:space="preserve">This amendment is a consequence of the amendments in </w:t>
      </w:r>
      <w:r w:rsidRPr="002562EF">
        <w:rPr>
          <w:b/>
        </w:rPr>
        <w:t>items [2]</w:t>
      </w:r>
      <w:r>
        <w:t xml:space="preserve"> and </w:t>
      </w:r>
      <w:r w:rsidRPr="002562EF">
        <w:rPr>
          <w:b/>
        </w:rPr>
        <w:t>[3]</w:t>
      </w:r>
      <w:r>
        <w:t xml:space="preserve"> below.</w:t>
      </w:r>
    </w:p>
    <w:p w14:paraId="3ABA80A3" w14:textId="77777777" w:rsidR="00861FA8" w:rsidRDefault="00861FA8" w:rsidP="00510B7A">
      <w:pPr>
        <w:widowControl/>
        <w:spacing w:before="120" w:after="120"/>
        <w:rPr>
          <w:b/>
        </w:rPr>
      </w:pPr>
      <w:r w:rsidRPr="00CA75C3">
        <w:rPr>
          <w:b/>
        </w:rPr>
        <w:t xml:space="preserve">Item [2] </w:t>
      </w:r>
    </w:p>
    <w:p w14:paraId="1FE5B260" w14:textId="24CCC6D9" w:rsidR="00861FA8" w:rsidRDefault="00861FA8" w:rsidP="00510B7A">
      <w:pPr>
        <w:widowControl/>
        <w:spacing w:before="120" w:after="120"/>
        <w:jc w:val="both"/>
      </w:pPr>
      <w:r w:rsidRPr="00A70DE5">
        <w:rPr>
          <w:b/>
        </w:rPr>
        <w:t>Item [2]</w:t>
      </w:r>
      <w:r w:rsidRPr="00CA75C3">
        <w:t xml:space="preserve"> sets out the following amendm</w:t>
      </w:r>
      <w:r>
        <w:t>en</w:t>
      </w:r>
      <w:r w:rsidRPr="00CA75C3">
        <w:t>ts to Schedule 3.</w:t>
      </w:r>
      <w:r>
        <w:t xml:space="preserve"> </w:t>
      </w:r>
    </w:p>
    <w:p w14:paraId="49F8D974" w14:textId="77777777" w:rsidR="00861FA8" w:rsidRPr="00CA75C3" w:rsidRDefault="00861FA8" w:rsidP="00510B7A">
      <w:pPr>
        <w:widowControl/>
        <w:spacing w:before="120" w:after="120"/>
        <w:jc w:val="both"/>
      </w:pPr>
      <w:r w:rsidRPr="00224B3E">
        <w:rPr>
          <w:rFonts w:eastAsia="Calibri" w:cs="Arial"/>
          <w:bCs/>
          <w:szCs w:val="22"/>
          <w:lang w:val="en-AU" w:bidi="ar-SA"/>
        </w:rPr>
        <w:t>S</w:t>
      </w:r>
      <w:r>
        <w:rPr>
          <w:rFonts w:eastAsia="Calibri" w:cs="Arial"/>
          <w:bCs/>
          <w:szCs w:val="22"/>
          <w:lang w:val="en-AU" w:bidi="ar-SA"/>
        </w:rPr>
        <w:t>chedule 3 contains specifications for the purposes of s</w:t>
      </w:r>
      <w:r w:rsidRPr="00224B3E">
        <w:rPr>
          <w:rFonts w:eastAsia="Calibri" w:cs="Arial"/>
          <w:bCs/>
          <w:szCs w:val="22"/>
          <w:lang w:val="en-AU" w:bidi="ar-SA"/>
        </w:rPr>
        <w:t>ection 1.1.1—15 of the Code</w:t>
      </w:r>
      <w:r>
        <w:rPr>
          <w:rFonts w:eastAsia="Calibri" w:cs="Arial"/>
          <w:bCs/>
          <w:szCs w:val="22"/>
          <w:lang w:val="en-AU" w:bidi="ar-SA"/>
        </w:rPr>
        <w:t>. S</w:t>
      </w:r>
      <w:r w:rsidRPr="00224B3E">
        <w:rPr>
          <w:rFonts w:eastAsia="Calibri" w:cs="Arial"/>
          <w:bCs/>
          <w:szCs w:val="22"/>
          <w:lang w:val="en-AU" w:bidi="ar-SA"/>
        </w:rPr>
        <w:t>ection 1.1.1—15  requires certain substances</w:t>
      </w:r>
      <w:r>
        <w:rPr>
          <w:rFonts w:eastAsia="Calibri" w:cs="Arial"/>
          <w:bCs/>
          <w:szCs w:val="22"/>
          <w:lang w:val="en-AU" w:bidi="ar-SA"/>
        </w:rPr>
        <w:t>, e.g. substances used as nutritive substances,</w:t>
      </w:r>
      <w:r w:rsidRPr="00224B3E">
        <w:rPr>
          <w:rFonts w:eastAsia="Calibri" w:cs="Arial"/>
          <w:bCs/>
          <w:szCs w:val="22"/>
          <w:lang w:val="en-AU" w:bidi="ar-SA"/>
        </w:rPr>
        <w:t xml:space="preserve"> to comply with any relevant identity and purity specifications listed in Schedule 3. </w:t>
      </w:r>
      <w:r>
        <w:rPr>
          <w:rFonts w:eastAsia="Calibri" w:cs="Arial"/>
          <w:bCs/>
          <w:szCs w:val="22"/>
          <w:lang w:val="en-AU" w:bidi="ar-SA"/>
        </w:rPr>
        <w:t xml:space="preserve">Specifications include those set out in provisions which are listed in the table to </w:t>
      </w:r>
      <w:r w:rsidRPr="00C56562">
        <w:t>subsection S3—2(2)</w:t>
      </w:r>
      <w:r>
        <w:rPr>
          <w:rFonts w:eastAsia="Calibri" w:cs="Arial"/>
          <w:bCs/>
          <w:szCs w:val="22"/>
          <w:lang w:val="en-AU" w:bidi="ar-SA"/>
        </w:rPr>
        <w:t xml:space="preserve"> (see paragraph S3—2(1)(a)). </w:t>
      </w:r>
      <w:r w:rsidRPr="00224B3E">
        <w:rPr>
          <w:rFonts w:eastAsia="Calibri" w:cs="Arial"/>
          <w:bCs/>
          <w:szCs w:val="22"/>
          <w:lang w:val="en-AU" w:bidi="ar-SA"/>
        </w:rPr>
        <w:t xml:space="preserve"> </w:t>
      </w:r>
    </w:p>
    <w:p w14:paraId="237096EA" w14:textId="7097120B" w:rsidR="00861FA8" w:rsidRDefault="00861FA8" w:rsidP="00510B7A">
      <w:pPr>
        <w:widowControl/>
        <w:spacing w:before="120" w:after="120"/>
        <w:jc w:val="both"/>
      </w:pPr>
      <w:r>
        <w:t>Sub-item [2.1] omit</w:t>
      </w:r>
      <w:r w:rsidR="00170DD4">
        <w:t>s</w:t>
      </w:r>
      <w:r>
        <w:t xml:space="preserve"> references to ‘</w:t>
      </w:r>
      <w:r w:rsidRPr="005C7DDE">
        <w:t>2′-O-fucosyllactose</w:t>
      </w:r>
      <w:r>
        <w:t>’ and ‘</w:t>
      </w:r>
      <w:r w:rsidRPr="00C56562">
        <w:t>section S3—40</w:t>
      </w:r>
      <w:r>
        <w:t xml:space="preserve">’ in columns 1 and 2 respectively of </w:t>
      </w:r>
      <w:r w:rsidRPr="00C56562">
        <w:t>the table to subsection S3—2(2)</w:t>
      </w:r>
      <w:r>
        <w:t>, substituting them with, in alphabetical order, references to ‘</w:t>
      </w:r>
      <w:r w:rsidRPr="005C7DDE">
        <w:t>2′-fucosyllactose</w:t>
      </w:r>
      <w:r>
        <w:t xml:space="preserve"> sourced from </w:t>
      </w:r>
      <w:r>
        <w:rPr>
          <w:i/>
        </w:rPr>
        <w:t xml:space="preserve">Escherichia coli </w:t>
      </w:r>
      <w:r w:rsidRPr="004E0A99">
        <w:t>K-12</w:t>
      </w:r>
      <w:r>
        <w:t>’ and ‘</w:t>
      </w:r>
      <w:r w:rsidRPr="00C56562">
        <w:t>section S3—40</w:t>
      </w:r>
      <w:r w:rsidR="005F2A8C">
        <w:t xml:space="preserve">’. </w:t>
      </w:r>
    </w:p>
    <w:p w14:paraId="6E8762C9" w14:textId="4B782C37" w:rsidR="00861FA8" w:rsidRDefault="00861FA8" w:rsidP="00510B7A">
      <w:pPr>
        <w:widowControl/>
        <w:spacing w:before="120" w:after="120"/>
        <w:jc w:val="both"/>
      </w:pPr>
      <w:r>
        <w:t xml:space="preserve">This amendment reflects the preferred substance name and source; and distinguishes between the specifications for </w:t>
      </w:r>
      <w:r w:rsidRPr="005C7DDE">
        <w:t>2′-fucosyllactose</w:t>
      </w:r>
      <w:r>
        <w:t xml:space="preserve"> from </w:t>
      </w:r>
      <w:r>
        <w:rPr>
          <w:i/>
        </w:rPr>
        <w:t xml:space="preserve">Escherichia coli </w:t>
      </w:r>
      <w:r w:rsidRPr="004E0A99">
        <w:t>K-12</w:t>
      </w:r>
      <w:r>
        <w:t xml:space="preserve"> and specifications for the new substance sought to be permitted by the applicant - </w:t>
      </w:r>
      <w:r w:rsidRPr="005C7DDE">
        <w:t>2′-fucosyllactose</w:t>
      </w:r>
      <w:r>
        <w:t xml:space="preserve"> from </w:t>
      </w:r>
      <w:r w:rsidRPr="00CA75C3">
        <w:rPr>
          <w:i/>
        </w:rPr>
        <w:t>Escherichia coli</w:t>
      </w:r>
      <w:r w:rsidRPr="000A2217">
        <w:t xml:space="preserve"> BL21</w:t>
      </w:r>
      <w:r>
        <w:t xml:space="preserve"> (see sub-items [2.2] and [2.5] bel</w:t>
      </w:r>
      <w:r w:rsidR="005F2A8C">
        <w:t xml:space="preserve">ow). </w:t>
      </w:r>
    </w:p>
    <w:p w14:paraId="385064DA" w14:textId="1185D9E7" w:rsidR="00861FA8" w:rsidRDefault="00861FA8" w:rsidP="00510B7A">
      <w:pPr>
        <w:widowControl/>
        <w:spacing w:before="120" w:after="120"/>
        <w:jc w:val="both"/>
      </w:pPr>
      <w:r>
        <w:t>Sub-item [2.2] insert</w:t>
      </w:r>
      <w:r w:rsidR="00170DD4">
        <w:t>s</w:t>
      </w:r>
      <w:r>
        <w:t xml:space="preserve"> into columns 1 and 2 of </w:t>
      </w:r>
      <w:r w:rsidRPr="00C56562">
        <w:t>the table to subsection S3—2(2)</w:t>
      </w:r>
      <w:r>
        <w:t>, in alphabetical order, new references to ‘</w:t>
      </w:r>
      <w:r w:rsidRPr="005C7DDE">
        <w:t>2′-fucosyllactose</w:t>
      </w:r>
      <w:r>
        <w:t xml:space="preserve"> from </w:t>
      </w:r>
      <w:r w:rsidRPr="009E4AE1">
        <w:rPr>
          <w:i/>
        </w:rPr>
        <w:t>Escherichia coli</w:t>
      </w:r>
      <w:r w:rsidRPr="000A2217">
        <w:t xml:space="preserve"> BL21</w:t>
      </w:r>
      <w:r>
        <w:t>’ and ‘</w:t>
      </w:r>
      <w:r w:rsidRPr="00C56562">
        <w:t>section S3—</w:t>
      </w:r>
      <w:r>
        <w:t xml:space="preserve">5’ respectively. These new references relate to the new provision that </w:t>
      </w:r>
      <w:r w:rsidR="0005222D">
        <w:t>is</w:t>
      </w:r>
      <w:r>
        <w:t xml:space="preserve"> in</w:t>
      </w:r>
      <w:r w:rsidR="005F2A8C">
        <w:t>serted by sub-item [2.5] below.</w:t>
      </w:r>
    </w:p>
    <w:p w14:paraId="6AE8CD30" w14:textId="5090B123" w:rsidR="00861FA8" w:rsidRDefault="00861FA8" w:rsidP="00510B7A">
      <w:pPr>
        <w:widowControl/>
        <w:spacing w:before="120" w:after="120"/>
        <w:jc w:val="both"/>
      </w:pPr>
      <w:r>
        <w:t>Sub-item [2.3] omit</w:t>
      </w:r>
      <w:r w:rsidR="00170DD4">
        <w:t>s</w:t>
      </w:r>
      <w:r>
        <w:t xml:space="preserve"> </w:t>
      </w:r>
      <w:r w:rsidRPr="007B2F80">
        <w:t>the heading for section S3—40</w:t>
      </w:r>
      <w:r>
        <w:t>, substituting it with ‘</w:t>
      </w:r>
      <w:r w:rsidRPr="004B2B03">
        <w:t xml:space="preserve">2′-fucosyllactose (2′ FL) sourced from </w:t>
      </w:r>
      <w:r w:rsidRPr="00CA75C3">
        <w:rPr>
          <w:i/>
        </w:rPr>
        <w:t>Escherichia coli</w:t>
      </w:r>
      <w:r w:rsidRPr="004B2B03">
        <w:t xml:space="preserve"> K-12</w:t>
      </w:r>
      <w:r w:rsidR="005F2A8C">
        <w:t>’ (see sub-item [2.1] above).</w:t>
      </w:r>
    </w:p>
    <w:p w14:paraId="3084CE20" w14:textId="619B0EB5" w:rsidR="00861FA8" w:rsidRDefault="00861FA8" w:rsidP="00510B7A">
      <w:pPr>
        <w:widowControl/>
        <w:spacing w:before="120" w:after="120"/>
        <w:jc w:val="both"/>
      </w:pPr>
      <w:r>
        <w:t>Sub-item [2.4] omit</w:t>
      </w:r>
      <w:r w:rsidR="00170DD4">
        <w:t>s</w:t>
      </w:r>
      <w:r w:rsidRPr="00281C25">
        <w:t xml:space="preserve"> </w:t>
      </w:r>
      <w:r>
        <w:t>the reference to ‘</w:t>
      </w:r>
      <w:r w:rsidRPr="00281C25">
        <w:t>2′-O-fucosyllactose (2′-FL)</w:t>
      </w:r>
      <w:r>
        <w:t>’</w:t>
      </w:r>
      <w:r w:rsidRPr="00281C25">
        <w:t xml:space="preserve"> in section S3—40, substituting </w:t>
      </w:r>
      <w:r>
        <w:t>it with a reference to ‘</w:t>
      </w:r>
      <w:r w:rsidRPr="00281C25">
        <w:t xml:space="preserve">2′-fucosyllactose (2′ FL) sourced from </w:t>
      </w:r>
      <w:r w:rsidRPr="00CA75C3">
        <w:rPr>
          <w:i/>
        </w:rPr>
        <w:t>Escherichia coli</w:t>
      </w:r>
      <w:r w:rsidRPr="00281C25">
        <w:t xml:space="preserve"> K-12</w:t>
      </w:r>
      <w:r>
        <w:t>’ consistent the new heading for section S3—40 (see su</w:t>
      </w:r>
      <w:r w:rsidR="005F2A8C">
        <w:t>b-items [2.1] and [2.3] above).</w:t>
      </w:r>
    </w:p>
    <w:p w14:paraId="61E92B80" w14:textId="50CE8DA7" w:rsidR="00861FA8" w:rsidRDefault="00861FA8" w:rsidP="00510B7A">
      <w:pPr>
        <w:widowControl/>
        <w:spacing w:before="120" w:after="120"/>
        <w:jc w:val="both"/>
      </w:pPr>
      <w:r>
        <w:t xml:space="preserve">The effect of the amendments in sub-items [2.3] and [2.4] is that the specifications in section S3—40 </w:t>
      </w:r>
      <w:r w:rsidR="00170DD4">
        <w:t xml:space="preserve">will </w:t>
      </w:r>
      <w:r>
        <w:t xml:space="preserve">relate specifically to </w:t>
      </w:r>
      <w:r w:rsidRPr="00281C25">
        <w:t xml:space="preserve">2′-fucosyllactose (2′ FL) sourced from </w:t>
      </w:r>
      <w:r w:rsidRPr="009E4AE1">
        <w:rPr>
          <w:i/>
        </w:rPr>
        <w:t>Escherichia coli</w:t>
      </w:r>
      <w:r w:rsidRPr="00281C25">
        <w:t xml:space="preserve"> K-12</w:t>
      </w:r>
      <w:r w:rsidR="005F2A8C">
        <w:t>.</w:t>
      </w:r>
    </w:p>
    <w:p w14:paraId="4936B0A1" w14:textId="318DDED1" w:rsidR="00861FA8" w:rsidRDefault="00861FA8" w:rsidP="00510B7A">
      <w:pPr>
        <w:widowControl/>
        <w:spacing w:before="120" w:after="120"/>
        <w:jc w:val="both"/>
      </w:pPr>
      <w:r>
        <w:t>Sub-item [2.5] insert</w:t>
      </w:r>
      <w:r w:rsidR="00170DD4">
        <w:t>s</w:t>
      </w:r>
      <w:r>
        <w:t xml:space="preserve"> new section S3</w:t>
      </w:r>
      <w:r>
        <w:rPr>
          <w:rFonts w:ascii="Helvetica Neue" w:hAnsi="Helvetica Neue"/>
          <w:sz w:val="19"/>
          <w:szCs w:val="19"/>
        </w:rPr>
        <w:t>—</w:t>
      </w:r>
      <w:r>
        <w:t xml:space="preserve">45 which sets out the specifications relating specifically to </w:t>
      </w:r>
      <w:r w:rsidRPr="00281C25">
        <w:t xml:space="preserve">2′-fucosyllactose sourced from </w:t>
      </w:r>
      <w:r w:rsidRPr="00CA75C3">
        <w:rPr>
          <w:i/>
        </w:rPr>
        <w:t>Escherichia coli</w:t>
      </w:r>
      <w:r w:rsidRPr="00281C25">
        <w:t xml:space="preserve"> BL21</w:t>
      </w:r>
      <w:r>
        <w:t xml:space="preserve">, the new substance sought to be permitted by the applicant. </w:t>
      </w:r>
    </w:p>
    <w:p w14:paraId="5222F63D" w14:textId="6DF08CA4" w:rsidR="00861FA8" w:rsidRDefault="00861FA8" w:rsidP="00510B7A">
      <w:pPr>
        <w:widowControl/>
        <w:spacing w:before="120" w:after="120"/>
        <w:jc w:val="both"/>
      </w:pPr>
      <w:r>
        <w:t xml:space="preserve">Consequently, the permission for </w:t>
      </w:r>
      <w:r w:rsidRPr="00281C25">
        <w:t xml:space="preserve">2′-fucosyllactose sourced from </w:t>
      </w:r>
      <w:r w:rsidRPr="009E4AE1">
        <w:rPr>
          <w:i/>
        </w:rPr>
        <w:t>Escherichia coli</w:t>
      </w:r>
      <w:r w:rsidRPr="00281C25">
        <w:t xml:space="preserve"> BL21</w:t>
      </w:r>
      <w:r>
        <w:t xml:space="preserve"> to be used as a nutritive substance in infant formula products (or sold for such use) </w:t>
      </w:r>
      <w:r w:rsidR="00170DD4">
        <w:t xml:space="preserve">will </w:t>
      </w:r>
      <w:r>
        <w:t xml:space="preserve">be subject </w:t>
      </w:r>
      <w:r>
        <w:lastRenderedPageBreak/>
        <w:t>to the requirement in section 1.1.1—15 that the substance must comply with these specifications.</w:t>
      </w:r>
    </w:p>
    <w:p w14:paraId="224D75A0" w14:textId="77777777" w:rsidR="00861FA8" w:rsidRDefault="00861FA8" w:rsidP="00510B7A">
      <w:pPr>
        <w:widowControl/>
        <w:spacing w:before="120" w:after="120"/>
        <w:jc w:val="both"/>
        <w:rPr>
          <w:b/>
        </w:rPr>
      </w:pPr>
      <w:r w:rsidRPr="00CA75C3">
        <w:rPr>
          <w:b/>
        </w:rPr>
        <w:t xml:space="preserve">Item [3] </w:t>
      </w:r>
    </w:p>
    <w:p w14:paraId="10A65172" w14:textId="3666B2D7" w:rsidR="00861FA8" w:rsidRDefault="00861FA8" w:rsidP="00510B7A">
      <w:pPr>
        <w:widowControl/>
        <w:spacing w:before="120" w:after="120"/>
        <w:jc w:val="both"/>
      </w:pPr>
      <w:r>
        <w:rPr>
          <w:b/>
        </w:rPr>
        <w:t xml:space="preserve">Item [3] </w:t>
      </w:r>
      <w:r>
        <w:t>sets out the following amendments to Schedule 26.</w:t>
      </w:r>
    </w:p>
    <w:p w14:paraId="578F3F7B" w14:textId="77777777" w:rsidR="00861FA8" w:rsidRDefault="00861FA8" w:rsidP="00510B7A">
      <w:pPr>
        <w:widowControl/>
        <w:spacing w:before="120" w:after="120"/>
        <w:jc w:val="both"/>
      </w:pPr>
      <w:r>
        <w:t xml:space="preserve">Schedule 26 relates to food produced using gene technology. </w:t>
      </w:r>
      <w:r w:rsidRPr="00281C25">
        <w:t xml:space="preserve">2′-fucosyllactose sourced from </w:t>
      </w:r>
      <w:r w:rsidRPr="009E4AE1">
        <w:rPr>
          <w:i/>
        </w:rPr>
        <w:t>Escherichia coli</w:t>
      </w:r>
      <w:r w:rsidRPr="00281C25">
        <w:t xml:space="preserve"> BL21</w:t>
      </w:r>
      <w:r>
        <w:t xml:space="preserve"> is a food produced using gene technology </w:t>
      </w:r>
      <w:r w:rsidRPr="004824D1">
        <w:t xml:space="preserve">(as defined in </w:t>
      </w:r>
      <w:r>
        <w:t>sub</w:t>
      </w:r>
      <w:r w:rsidRPr="004824D1">
        <w:t>section 1.1.2—2</w:t>
      </w:r>
      <w:r>
        <w:t>(3)</w:t>
      </w:r>
      <w:r w:rsidRPr="004824D1">
        <w:t xml:space="preserve">) </w:t>
      </w:r>
      <w:r>
        <w:t>because</w:t>
      </w:r>
      <w:r w:rsidRPr="004824D1">
        <w:t xml:space="preserve"> it is derived from an organism modified using gene technology</w:t>
      </w:r>
      <w:r>
        <w:t>.</w:t>
      </w:r>
    </w:p>
    <w:p w14:paraId="2D832CF3" w14:textId="77777777" w:rsidR="00861FA8" w:rsidRDefault="00861FA8" w:rsidP="00510B7A">
      <w:pPr>
        <w:widowControl/>
        <w:spacing w:before="120" w:after="120"/>
        <w:jc w:val="both"/>
      </w:pPr>
      <w: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2F278302" w14:textId="12785369" w:rsidR="00861FA8" w:rsidRPr="005F2A8C" w:rsidRDefault="00861FA8" w:rsidP="00510B7A">
      <w:pPr>
        <w:widowControl/>
        <w:spacing w:before="120" w:after="120"/>
        <w:jc w:val="both"/>
        <w:rPr>
          <w:b/>
        </w:rPr>
      </w:pPr>
      <w:r w:rsidRPr="00CA75C3">
        <w:t>The table to</w:t>
      </w:r>
      <w:r>
        <w:rPr>
          <w:b/>
        </w:rPr>
        <w:t xml:space="preserve"> </w:t>
      </w:r>
      <w:r>
        <w:t xml:space="preserve">subsection S26—3(7) lists food </w:t>
      </w:r>
      <w:r w:rsidRPr="007F063A">
        <w:t>produced using gene technology of microbial origin</w:t>
      </w:r>
      <w:r>
        <w:t>.</w:t>
      </w:r>
    </w:p>
    <w:p w14:paraId="509DBD1B" w14:textId="5641E8BC" w:rsidR="00861FA8" w:rsidRDefault="00861FA8" w:rsidP="00510B7A">
      <w:pPr>
        <w:widowControl/>
        <w:spacing w:before="120" w:after="120"/>
        <w:jc w:val="both"/>
      </w:pPr>
      <w:r>
        <w:t>Sub-item [3.1] omit</w:t>
      </w:r>
      <w:r w:rsidR="00923D3A">
        <w:t>s</w:t>
      </w:r>
      <w:r>
        <w:t xml:space="preserve"> item 1 in the table to subsection S26—3(7), </w:t>
      </w:r>
      <w:r w:rsidRPr="00CA75C3">
        <w:t xml:space="preserve">substituting it with a </w:t>
      </w:r>
      <w:r>
        <w:t>revised</w:t>
      </w:r>
      <w:r w:rsidRPr="00CA75C3">
        <w:t xml:space="preserve"> item 1</w:t>
      </w:r>
      <w:r w:rsidR="005F2A8C">
        <w:t>.</w:t>
      </w:r>
    </w:p>
    <w:p w14:paraId="38276B44" w14:textId="4B853DA7" w:rsidR="00861FA8" w:rsidRDefault="00861FA8" w:rsidP="00510B7A">
      <w:pPr>
        <w:widowControl/>
        <w:spacing w:before="120" w:after="120"/>
        <w:jc w:val="both"/>
      </w:pPr>
      <w:r>
        <w:t>Revised item 1 refers to ‘2</w:t>
      </w:r>
      <w:r w:rsidR="00AE47F3">
        <w:t>′</w:t>
      </w:r>
      <w:r>
        <w:t>-fucosyllactose’ as the substance name in column 1 of the table instead of ‘2′-O-fucosyllactos</w:t>
      </w:r>
      <w:r w:rsidR="005F2A8C">
        <w:t xml:space="preserve">e’ (see sub-item [2.1] above). </w:t>
      </w:r>
    </w:p>
    <w:p w14:paraId="64BD41DB" w14:textId="4E13B9F6" w:rsidR="00861FA8" w:rsidRDefault="00861FA8" w:rsidP="00510B7A">
      <w:pPr>
        <w:widowControl/>
        <w:spacing w:before="120" w:after="120"/>
        <w:jc w:val="both"/>
      </w:pPr>
      <w:r>
        <w:t>Revised item 1 also includes a new source (paragraph (b)) of 2′-fucosyllactose</w:t>
      </w:r>
      <w:r w:rsidDel="00347D3C">
        <w:t xml:space="preserve"> </w:t>
      </w:r>
      <w:r>
        <w:t xml:space="preserve">in column 2 of the table - </w:t>
      </w:r>
      <w:r w:rsidRPr="00CA75C3">
        <w:rPr>
          <w:i/>
        </w:rPr>
        <w:t>Escherichia coli</w:t>
      </w:r>
      <w:r w:rsidRPr="00347D3C">
        <w:t xml:space="preserve"> BL21 containing the gene for alpha-1,2-fucosyltransferase from </w:t>
      </w:r>
      <w:r w:rsidRPr="00CA75C3">
        <w:rPr>
          <w:i/>
        </w:rPr>
        <w:t>Escherichia coli</w:t>
      </w:r>
      <w:r w:rsidRPr="00347D3C">
        <w:t xml:space="preserve"> O126</w:t>
      </w:r>
      <w:r w:rsidR="005F2A8C">
        <w:t>.</w:t>
      </w:r>
    </w:p>
    <w:p w14:paraId="4B945223" w14:textId="77777777" w:rsidR="00861FA8" w:rsidRDefault="00861FA8" w:rsidP="00510B7A">
      <w:pPr>
        <w:widowControl/>
        <w:spacing w:before="120" w:after="120"/>
        <w:jc w:val="both"/>
      </w:pPr>
      <w:r>
        <w:t>Revised item 1 also sets out the following new conditions in column 3 of the table, both of which 2′-fucosyllactose</w:t>
      </w:r>
      <w:r w:rsidDel="00347D3C">
        <w:t xml:space="preserve"> </w:t>
      </w:r>
      <w:r>
        <w:t>from source (b) must comply with:</w:t>
      </w:r>
    </w:p>
    <w:p w14:paraId="141FF1EB" w14:textId="77777777" w:rsidR="00861FA8" w:rsidRDefault="00861FA8" w:rsidP="00510B7A">
      <w:pPr>
        <w:pStyle w:val="ListParagraph"/>
        <w:widowControl/>
        <w:numPr>
          <w:ilvl w:val="0"/>
          <w:numId w:val="21"/>
        </w:numPr>
        <w:spacing w:before="120" w:after="120"/>
        <w:contextualSpacing w:val="0"/>
        <w:jc w:val="both"/>
      </w:pPr>
      <w:r>
        <w:t>2′-fucosyllactose</w:t>
      </w:r>
      <w:r w:rsidDel="00347D3C">
        <w:t xml:space="preserve"> </w:t>
      </w:r>
      <w:r>
        <w:t>from source (b) may only be added to infant formula products; and</w:t>
      </w:r>
    </w:p>
    <w:p w14:paraId="49750FF4" w14:textId="55E4444A" w:rsidR="00861FA8" w:rsidRDefault="00861FA8" w:rsidP="00510B7A">
      <w:pPr>
        <w:pStyle w:val="ListParagraph"/>
        <w:widowControl/>
        <w:numPr>
          <w:ilvl w:val="0"/>
          <w:numId w:val="21"/>
        </w:numPr>
        <w:spacing w:before="120" w:after="120"/>
        <w:contextualSpacing w:val="0"/>
        <w:jc w:val="both"/>
      </w:pPr>
      <w:r>
        <w:t xml:space="preserve">during the ‘exclusive use period’ (i.e. the period commencing on the date of gazettal of this </w:t>
      </w:r>
      <w:r w:rsidR="009A6DB5">
        <w:t xml:space="preserve">approved </w:t>
      </w:r>
      <w:r>
        <w:t>draft variation, and ending 15 months after that date), 2′-fucosyllactose</w:t>
      </w:r>
      <w:r w:rsidDel="00347D3C">
        <w:t xml:space="preserve"> </w:t>
      </w:r>
      <w:r>
        <w:t>from source (b) may only be sold under the brand name ‘</w:t>
      </w:r>
      <w:r w:rsidRPr="001369A0">
        <w:t>CHR. HANSEN™ 2′-FL</w:t>
      </w:r>
      <w:r>
        <w:t xml:space="preserve">’. </w:t>
      </w:r>
    </w:p>
    <w:p w14:paraId="1A0FDD46" w14:textId="55CD380F" w:rsidR="00861FA8" w:rsidRDefault="00861FA8" w:rsidP="00510B7A">
      <w:pPr>
        <w:widowControl/>
        <w:spacing w:before="120" w:after="120"/>
        <w:jc w:val="both"/>
      </w:pPr>
      <w:r>
        <w:t xml:space="preserve">Condition (b) means that the permission for 2′-FL from source (b) </w:t>
      </w:r>
      <w:r w:rsidR="00923D3A">
        <w:t xml:space="preserve">will </w:t>
      </w:r>
      <w:r>
        <w:t>apply exclusively to that substance under the brand ‘</w:t>
      </w:r>
      <w:r w:rsidRPr="001369A0">
        <w:t>CHR. HANSEN™ 2′-FL</w:t>
      </w:r>
      <w:r>
        <w:t xml:space="preserve">’ in accordance with the Code. Once this period ends, the exclusive use permission </w:t>
      </w:r>
      <w:r w:rsidR="00923D3A">
        <w:t xml:space="preserve">will </w:t>
      </w:r>
      <w:r>
        <w:t xml:space="preserve">revert to a general permission, meaning that the permission </w:t>
      </w:r>
      <w:r w:rsidR="00923D3A">
        <w:t xml:space="preserve">will then </w:t>
      </w:r>
      <w:r>
        <w:t>apply to all brands of 2′-FL from source (</w:t>
      </w:r>
      <w:r w:rsidR="005F2A8C">
        <w:t>b) in accordance with the Code.</w:t>
      </w:r>
    </w:p>
    <w:p w14:paraId="766767C6" w14:textId="66429F64" w:rsidR="00861FA8" w:rsidRDefault="00861FA8" w:rsidP="00510B7A">
      <w:pPr>
        <w:widowControl/>
        <w:spacing w:before="120" w:after="120"/>
        <w:jc w:val="both"/>
      </w:pPr>
      <w:r>
        <w:t xml:space="preserve">The effect of the amendment in sub-item [3.1] is that 2′-fucosyllactose derived from </w:t>
      </w:r>
      <w:r w:rsidRPr="009E4AE1">
        <w:rPr>
          <w:i/>
        </w:rPr>
        <w:t>Escherichia coli</w:t>
      </w:r>
      <w:r w:rsidRPr="00347D3C">
        <w:t xml:space="preserve"> BL21 containing the gene for alpha-1,2-fucosyltransferase from </w:t>
      </w:r>
      <w:r w:rsidRPr="009E4AE1">
        <w:rPr>
          <w:i/>
        </w:rPr>
        <w:t>Escherichia coli</w:t>
      </w:r>
      <w:r w:rsidRPr="00347D3C">
        <w:t xml:space="preserve"> O126</w:t>
      </w:r>
      <w:r>
        <w:t xml:space="preserve"> </w:t>
      </w:r>
      <w:r w:rsidR="00923D3A">
        <w:t xml:space="preserve">will </w:t>
      </w:r>
      <w:r>
        <w:t>be permitted to be used as a nutritive substance in infant form</w:t>
      </w:r>
      <w:r w:rsidR="005F2A8C">
        <w:t>ula products:</w:t>
      </w:r>
    </w:p>
    <w:p w14:paraId="78050E70" w14:textId="77777777" w:rsidR="00861FA8" w:rsidRDefault="00861FA8" w:rsidP="00510B7A">
      <w:pPr>
        <w:pStyle w:val="ListParagraph"/>
        <w:widowControl/>
        <w:numPr>
          <w:ilvl w:val="0"/>
          <w:numId w:val="22"/>
        </w:numPr>
        <w:spacing w:before="120" w:after="120"/>
        <w:contextualSpacing w:val="0"/>
        <w:jc w:val="both"/>
      </w:pPr>
      <w:r>
        <w:t xml:space="preserve">in accordance with the Code; and </w:t>
      </w:r>
    </w:p>
    <w:p w14:paraId="4860B533" w14:textId="2E66CB77" w:rsidR="00861FA8" w:rsidRDefault="00861FA8" w:rsidP="00510B7A">
      <w:pPr>
        <w:pStyle w:val="ListParagraph"/>
        <w:widowControl/>
        <w:numPr>
          <w:ilvl w:val="0"/>
          <w:numId w:val="22"/>
        </w:numPr>
        <w:spacing w:before="120" w:after="120"/>
        <w:contextualSpacing w:val="0"/>
        <w:jc w:val="both"/>
      </w:pPr>
      <w:r>
        <w:t>subject to the above exclusive use condition.</w:t>
      </w:r>
    </w:p>
    <w:p w14:paraId="41143194" w14:textId="1987367A" w:rsidR="00861FA8" w:rsidRDefault="00861FA8" w:rsidP="00510B7A">
      <w:pPr>
        <w:widowControl/>
        <w:spacing w:before="120" w:after="120"/>
        <w:jc w:val="both"/>
      </w:pPr>
      <w:r>
        <w:t>Sub-item [3.2] omit</w:t>
      </w:r>
      <w:r w:rsidR="00923D3A">
        <w:t>s</w:t>
      </w:r>
      <w:r>
        <w:t xml:space="preserve"> the reference to ‘</w:t>
      </w:r>
      <w:r w:rsidRPr="0006007C">
        <w:t>2′-O-fucosyllactose</w:t>
      </w:r>
      <w:r>
        <w:t>’</w:t>
      </w:r>
      <w:r w:rsidRPr="0006007C">
        <w:t xml:space="preserve"> in item 2 in the table to subsection S26—3(7), substituting </w:t>
      </w:r>
      <w:r>
        <w:t>it with a reference to ‘</w:t>
      </w:r>
      <w:r w:rsidRPr="0006007C">
        <w:t>2′-fucosyllactose</w:t>
      </w:r>
      <w:r>
        <w:t>’. This amendment is a consequence of the amendments in sub-item [3.1] above.</w:t>
      </w:r>
    </w:p>
    <w:p w14:paraId="3EBEE29E" w14:textId="3C6C2CB6" w:rsidR="00861FA8" w:rsidRDefault="00861FA8" w:rsidP="00510B7A">
      <w:pPr>
        <w:widowControl/>
        <w:spacing w:before="120" w:after="120"/>
        <w:jc w:val="both"/>
      </w:pPr>
      <w:r>
        <w:t xml:space="preserve">The amendments in </w:t>
      </w:r>
      <w:r w:rsidRPr="00BF3DF8">
        <w:rPr>
          <w:b/>
        </w:rPr>
        <w:t>item [3]</w:t>
      </w:r>
      <w:r>
        <w:t xml:space="preserve"> </w:t>
      </w:r>
      <w:r w:rsidR="00252A09">
        <w:t>do</w:t>
      </w:r>
      <w:r w:rsidR="00923D3A">
        <w:t xml:space="preserve"> </w:t>
      </w:r>
      <w:r>
        <w:t xml:space="preserve">not make any substantive changes to </w:t>
      </w:r>
      <w:r w:rsidRPr="00BF3DF8">
        <w:rPr>
          <w:i/>
        </w:rPr>
        <w:t>existing</w:t>
      </w:r>
      <w:r>
        <w:t xml:space="preserve"> permissions and other requirements in the Code related to food produced using gene technology. </w:t>
      </w:r>
    </w:p>
    <w:p w14:paraId="3C0897CC" w14:textId="77777777" w:rsidR="00861FA8" w:rsidRPr="00BF3DF8" w:rsidRDefault="00861FA8" w:rsidP="00510B7A">
      <w:pPr>
        <w:widowControl/>
        <w:spacing w:before="120" w:after="120"/>
        <w:jc w:val="both"/>
        <w:rPr>
          <w:b/>
        </w:rPr>
      </w:pPr>
      <w:r w:rsidRPr="00BF3DF8">
        <w:rPr>
          <w:b/>
        </w:rPr>
        <w:t xml:space="preserve">Item [4] </w:t>
      </w:r>
    </w:p>
    <w:p w14:paraId="0E80108C" w14:textId="01D15C64" w:rsidR="00861FA8" w:rsidRDefault="00861FA8" w:rsidP="00510B7A">
      <w:pPr>
        <w:widowControl/>
        <w:spacing w:before="120" w:after="120"/>
        <w:jc w:val="both"/>
      </w:pPr>
      <w:r w:rsidRPr="00BF3DF8">
        <w:rPr>
          <w:b/>
        </w:rPr>
        <w:t>Item [4]</w:t>
      </w:r>
      <w:r>
        <w:t xml:space="preserve"> var</w:t>
      </w:r>
      <w:r w:rsidR="00923D3A">
        <w:t>ies</w:t>
      </w:r>
      <w:r>
        <w:t xml:space="preserve"> Schedule 29 by omitting references to ‘2′-O-fucosyllactose’ wherever occurring in </w:t>
      </w:r>
      <w:r w:rsidR="00C9442B">
        <w:t xml:space="preserve">the </w:t>
      </w:r>
      <w:r>
        <w:t xml:space="preserve">table to </w:t>
      </w:r>
      <w:r w:rsidRPr="00516601">
        <w:t>section 2.9.1—5</w:t>
      </w:r>
      <w:r>
        <w:t>, and substituting them with references to ‘2′-fucosyllactose’. As stated above, the revised reference reflects the preferred substance</w:t>
      </w:r>
      <w:r w:rsidR="005F2A8C">
        <w:t xml:space="preserve"> name for all permitted 2′-FL. </w:t>
      </w:r>
    </w:p>
    <w:p w14:paraId="224E2342" w14:textId="0986E796" w:rsidR="00456BD5" w:rsidRPr="005F2A8C" w:rsidRDefault="00861FA8" w:rsidP="005F2A8C">
      <w:pPr>
        <w:widowControl/>
        <w:spacing w:before="120" w:after="120"/>
        <w:jc w:val="both"/>
      </w:pPr>
      <w:r>
        <w:lastRenderedPageBreak/>
        <w:t xml:space="preserve">This amendment is a consequence of the amendments in </w:t>
      </w:r>
      <w:r w:rsidRPr="003258E9">
        <w:rPr>
          <w:b/>
        </w:rPr>
        <w:t>items [2]</w:t>
      </w:r>
      <w:r>
        <w:t xml:space="preserve"> and </w:t>
      </w:r>
      <w:r w:rsidRPr="003258E9">
        <w:rPr>
          <w:b/>
        </w:rPr>
        <w:t>[3]</w:t>
      </w:r>
      <w:r>
        <w:t xml:space="preserve"> above.</w:t>
      </w:r>
    </w:p>
    <w:p w14:paraId="2AAB4D54" w14:textId="77777777" w:rsidR="00456BD5" w:rsidRDefault="00456BD5" w:rsidP="00510B7A">
      <w:pPr>
        <w:pStyle w:val="Heading2"/>
        <w:spacing w:before="120" w:after="120"/>
      </w:pPr>
      <w:r>
        <w:br w:type="page"/>
      </w:r>
    </w:p>
    <w:p w14:paraId="5B039F0E" w14:textId="5F46EBA3" w:rsidR="00187F02" w:rsidRPr="00870129" w:rsidRDefault="003C4969" w:rsidP="00510B7A">
      <w:pPr>
        <w:pStyle w:val="Heading2"/>
        <w:widowControl/>
        <w:spacing w:before="120" w:after="120"/>
        <w:ind w:left="0" w:firstLine="0"/>
      </w:pPr>
      <w:bookmarkStart w:id="179" w:name="_Toc81995118"/>
      <w:r w:rsidRPr="00870129">
        <w:lastRenderedPageBreak/>
        <w:t xml:space="preserve">Attachment </w:t>
      </w:r>
      <w:bookmarkStart w:id="180" w:name="_Toc11735637"/>
      <w:bookmarkStart w:id="181" w:name="_Toc29883122"/>
      <w:bookmarkStart w:id="182" w:name="_Toc41906809"/>
      <w:bookmarkStart w:id="183" w:name="_Toc41907556"/>
      <w:bookmarkStart w:id="184" w:name="_Toc120358587"/>
      <w:bookmarkStart w:id="185" w:name="_Toc175381446"/>
      <w:bookmarkStart w:id="186" w:name="_Toc175381454"/>
      <w:bookmarkEnd w:id="176"/>
      <w:bookmarkEnd w:id="177"/>
      <w:r w:rsidR="007D0189" w:rsidRPr="00870129">
        <w:t>C</w:t>
      </w:r>
      <w:r w:rsidR="00486C66" w:rsidRPr="00870129">
        <w:t xml:space="preserve"> – </w:t>
      </w:r>
      <w:r w:rsidR="00870129" w:rsidRPr="00870129">
        <w:t>Draft variation</w:t>
      </w:r>
      <w:r w:rsidR="00795D86" w:rsidRPr="00870129">
        <w:t xml:space="preserve"> to the </w:t>
      </w:r>
      <w:r w:rsidR="00795D86" w:rsidRPr="00870129">
        <w:rPr>
          <w:i/>
        </w:rPr>
        <w:t>Australia New Zealand Food Standards Code</w:t>
      </w:r>
      <w:r w:rsidR="00E47D3B" w:rsidRPr="00870129">
        <w:rPr>
          <w:i/>
        </w:rPr>
        <w:t xml:space="preserve"> </w:t>
      </w:r>
      <w:r w:rsidR="00E47D3B" w:rsidRPr="00870129">
        <w:t>(call for submissions)</w:t>
      </w:r>
      <w:bookmarkEnd w:id="179"/>
      <w:r w:rsidR="00187F02" w:rsidRPr="00870129">
        <w:t xml:space="preserve"> </w:t>
      </w:r>
    </w:p>
    <w:p w14:paraId="34F9B27B" w14:textId="77777777" w:rsidR="00187F02" w:rsidRPr="0036244B" w:rsidRDefault="00187F02" w:rsidP="00510B7A">
      <w:pPr>
        <w:widowControl/>
        <w:spacing w:before="120" w:after="120"/>
      </w:pPr>
    </w:p>
    <w:p w14:paraId="6A40DCB7" w14:textId="77777777" w:rsidR="00187F02" w:rsidRPr="00C0014E" w:rsidRDefault="00187F02" w:rsidP="00510B7A">
      <w:pPr>
        <w:widowControl/>
        <w:spacing w:before="120" w:after="120"/>
        <w:rPr>
          <w:noProof/>
          <w:sz w:val="20"/>
          <w:lang w:val="en-AU" w:eastAsia="en-AU"/>
        </w:rPr>
      </w:pPr>
      <w:r w:rsidRPr="00C0014E">
        <w:rPr>
          <w:noProof/>
          <w:sz w:val="20"/>
          <w:lang w:eastAsia="en-GB" w:bidi="ar-SA"/>
        </w:rPr>
        <w:drawing>
          <wp:inline distT="0" distB="0" distL="0" distR="0" wp14:anchorId="64B54EEC" wp14:editId="1AA196A4">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56055FC" w14:textId="77777777" w:rsidR="00187F02" w:rsidRPr="006153A1" w:rsidRDefault="00187F02" w:rsidP="00510B7A">
      <w:pPr>
        <w:widowControl/>
        <w:pBdr>
          <w:bottom w:val="single" w:sz="4" w:space="1" w:color="auto"/>
        </w:pBdr>
        <w:spacing w:before="120" w:after="120"/>
        <w:rPr>
          <w:b/>
          <w:bCs/>
        </w:rPr>
      </w:pPr>
    </w:p>
    <w:p w14:paraId="6BCF87E6" w14:textId="4ACBBE16" w:rsidR="00187F02" w:rsidRDefault="00187F02" w:rsidP="00510B7A">
      <w:pPr>
        <w:widowControl/>
        <w:pBdr>
          <w:bottom w:val="single" w:sz="4" w:space="1" w:color="auto"/>
        </w:pBdr>
        <w:spacing w:before="120" w:after="120"/>
        <w:rPr>
          <w:b/>
          <w:sz w:val="20"/>
        </w:rPr>
      </w:pPr>
      <w:r w:rsidRPr="006153A1">
        <w:rPr>
          <w:b/>
          <w:sz w:val="20"/>
        </w:rPr>
        <w:t xml:space="preserve">Food Standards </w:t>
      </w:r>
      <w:r>
        <w:rPr>
          <w:b/>
          <w:sz w:val="20"/>
        </w:rPr>
        <w:t>(</w:t>
      </w:r>
      <w:r w:rsidRPr="00F618DF">
        <w:rPr>
          <w:b/>
          <w:sz w:val="20"/>
        </w:rPr>
        <w:t>Application A</w:t>
      </w:r>
      <w:r>
        <w:rPr>
          <w:b/>
          <w:sz w:val="20"/>
        </w:rPr>
        <w:t>1190</w:t>
      </w:r>
      <w:r w:rsidRPr="00F618DF">
        <w:rPr>
          <w:b/>
          <w:sz w:val="20"/>
        </w:rPr>
        <w:t xml:space="preserve"> </w:t>
      </w:r>
      <w:r w:rsidRPr="00A32232">
        <w:rPr>
          <w:b/>
          <w:sz w:val="20"/>
        </w:rPr>
        <w:t xml:space="preserve">– </w:t>
      </w:r>
      <w:r w:rsidR="00072704">
        <w:rPr>
          <w:b/>
          <w:sz w:val="20"/>
        </w:rPr>
        <w:t>2′-FL</w:t>
      </w:r>
      <w:r>
        <w:rPr>
          <w:b/>
          <w:sz w:val="20"/>
        </w:rPr>
        <w:t xml:space="preserve"> in infant formula and other products)</w:t>
      </w:r>
      <w:r w:rsidRPr="00C0014E">
        <w:rPr>
          <w:b/>
          <w:sz w:val="20"/>
        </w:rPr>
        <w:t xml:space="preserve"> Variation</w:t>
      </w:r>
    </w:p>
    <w:p w14:paraId="139D7D37" w14:textId="77777777" w:rsidR="00187F02" w:rsidRPr="00C0014E" w:rsidRDefault="00187F02" w:rsidP="00510B7A">
      <w:pPr>
        <w:widowControl/>
        <w:pBdr>
          <w:bottom w:val="single" w:sz="4" w:space="1" w:color="auto"/>
        </w:pBdr>
        <w:spacing w:before="120" w:after="120"/>
        <w:rPr>
          <w:b/>
          <w:sz w:val="20"/>
        </w:rPr>
      </w:pPr>
    </w:p>
    <w:p w14:paraId="1BD967CC" w14:textId="77777777" w:rsidR="00187F02" w:rsidRPr="008F2616" w:rsidRDefault="00187F02" w:rsidP="00510B7A">
      <w:pPr>
        <w:widowControl/>
        <w:spacing w:before="120" w:after="120"/>
        <w:rPr>
          <w:sz w:val="20"/>
        </w:rPr>
      </w:pPr>
    </w:p>
    <w:p w14:paraId="7E6FB527" w14:textId="77777777" w:rsidR="00187F02" w:rsidRPr="008F2616" w:rsidRDefault="00187F02" w:rsidP="00510B7A">
      <w:pPr>
        <w:widowControl/>
        <w:spacing w:before="120" w:after="120"/>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E859447" w14:textId="77777777" w:rsidR="00187F02" w:rsidRPr="008F2616" w:rsidRDefault="00187F02" w:rsidP="00510B7A">
      <w:pPr>
        <w:widowControl/>
        <w:spacing w:before="120" w:after="120"/>
        <w:rPr>
          <w:sz w:val="20"/>
        </w:rPr>
      </w:pPr>
    </w:p>
    <w:p w14:paraId="05962C0E" w14:textId="77777777" w:rsidR="00187F02" w:rsidRPr="008F2616" w:rsidRDefault="00187F02" w:rsidP="00510B7A">
      <w:pPr>
        <w:widowControl/>
        <w:spacing w:before="120" w:after="120"/>
        <w:rPr>
          <w:sz w:val="20"/>
        </w:rPr>
      </w:pPr>
      <w:r w:rsidRPr="008F2616">
        <w:rPr>
          <w:sz w:val="20"/>
        </w:rPr>
        <w:t xml:space="preserve">Dated </w:t>
      </w:r>
      <w:r>
        <w:rPr>
          <w:sz w:val="20"/>
        </w:rPr>
        <w:t>[To be completed by Delegate]</w:t>
      </w:r>
    </w:p>
    <w:p w14:paraId="6D24DAC4" w14:textId="77777777" w:rsidR="00187F02" w:rsidRPr="008F2616" w:rsidRDefault="00187F02" w:rsidP="00510B7A">
      <w:pPr>
        <w:widowControl/>
        <w:spacing w:before="120" w:after="120"/>
        <w:rPr>
          <w:sz w:val="20"/>
        </w:rPr>
      </w:pPr>
    </w:p>
    <w:p w14:paraId="39E98E8F" w14:textId="77777777" w:rsidR="00187F02" w:rsidRDefault="00187F02" w:rsidP="00510B7A">
      <w:pPr>
        <w:widowControl/>
        <w:spacing w:before="120" w:after="120"/>
        <w:rPr>
          <w:sz w:val="20"/>
        </w:rPr>
      </w:pPr>
    </w:p>
    <w:p w14:paraId="500ED971" w14:textId="77777777" w:rsidR="00187F02" w:rsidRDefault="00187F02" w:rsidP="00510B7A">
      <w:pPr>
        <w:widowControl/>
        <w:spacing w:before="120" w:after="120"/>
        <w:rPr>
          <w:sz w:val="20"/>
        </w:rPr>
      </w:pPr>
    </w:p>
    <w:p w14:paraId="64B8A78E" w14:textId="77777777" w:rsidR="00187F02" w:rsidRPr="008F2616" w:rsidRDefault="00187F02" w:rsidP="00510B7A">
      <w:pPr>
        <w:widowControl/>
        <w:spacing w:before="120" w:after="120"/>
        <w:rPr>
          <w:sz w:val="20"/>
        </w:rPr>
      </w:pPr>
    </w:p>
    <w:p w14:paraId="1B00D4D2" w14:textId="77777777" w:rsidR="00187F02" w:rsidRPr="008F2616" w:rsidRDefault="00187F02" w:rsidP="00510B7A">
      <w:pPr>
        <w:widowControl/>
        <w:spacing w:before="120" w:after="120"/>
        <w:rPr>
          <w:sz w:val="20"/>
        </w:rPr>
      </w:pPr>
    </w:p>
    <w:p w14:paraId="09F134CA" w14:textId="77777777" w:rsidR="00187F02" w:rsidRDefault="00187F02" w:rsidP="00510B7A">
      <w:pPr>
        <w:widowControl/>
        <w:spacing w:before="120" w:after="120"/>
        <w:rPr>
          <w:sz w:val="20"/>
        </w:rPr>
      </w:pPr>
      <w:r>
        <w:rPr>
          <w:sz w:val="20"/>
        </w:rPr>
        <w:t>[Insert name of Delegate]</w:t>
      </w:r>
    </w:p>
    <w:p w14:paraId="0582DB37" w14:textId="77777777" w:rsidR="00187F02" w:rsidRDefault="00187F02" w:rsidP="00510B7A">
      <w:pPr>
        <w:widowControl/>
        <w:spacing w:before="120" w:after="120"/>
        <w:rPr>
          <w:sz w:val="20"/>
        </w:rPr>
      </w:pPr>
      <w:r>
        <w:rPr>
          <w:sz w:val="20"/>
        </w:rPr>
        <w:t>Delegate of the Board of Food Standards Australia New Zealand</w:t>
      </w:r>
    </w:p>
    <w:p w14:paraId="08207871" w14:textId="77777777" w:rsidR="00187F02" w:rsidRDefault="00187F02" w:rsidP="00510B7A">
      <w:pPr>
        <w:widowControl/>
        <w:spacing w:before="120" w:after="120"/>
        <w:rPr>
          <w:sz w:val="20"/>
        </w:rPr>
      </w:pPr>
    </w:p>
    <w:p w14:paraId="60B94803" w14:textId="77777777" w:rsidR="00187F02" w:rsidRDefault="00187F02" w:rsidP="00510B7A">
      <w:pPr>
        <w:widowControl/>
        <w:spacing w:before="120" w:after="120"/>
        <w:rPr>
          <w:sz w:val="20"/>
        </w:rPr>
      </w:pPr>
    </w:p>
    <w:p w14:paraId="3F0C8770" w14:textId="77777777" w:rsidR="00187F02" w:rsidRDefault="00187F02" w:rsidP="00510B7A">
      <w:pPr>
        <w:widowControl/>
        <w:spacing w:before="120" w:after="120"/>
        <w:rPr>
          <w:sz w:val="20"/>
        </w:rPr>
      </w:pPr>
    </w:p>
    <w:p w14:paraId="5EB4A030" w14:textId="77777777" w:rsidR="00187F02" w:rsidRDefault="00187F02" w:rsidP="00510B7A">
      <w:pPr>
        <w:widowControl/>
        <w:spacing w:before="120" w:after="120"/>
        <w:rPr>
          <w:sz w:val="20"/>
        </w:rPr>
      </w:pPr>
    </w:p>
    <w:p w14:paraId="52723CBC" w14:textId="77777777" w:rsidR="00187F02" w:rsidRDefault="00187F02" w:rsidP="00510B7A">
      <w:pPr>
        <w:widowControl/>
        <w:spacing w:before="120" w:after="120"/>
        <w:rPr>
          <w:sz w:val="20"/>
        </w:rPr>
      </w:pPr>
    </w:p>
    <w:p w14:paraId="0390D656" w14:textId="77777777" w:rsidR="00187F02" w:rsidRPr="00360C8F" w:rsidRDefault="00187F02" w:rsidP="00510B7A">
      <w:pPr>
        <w:widowControl/>
        <w:pBdr>
          <w:top w:val="single" w:sz="4" w:space="1" w:color="auto"/>
          <w:left w:val="single" w:sz="4" w:space="4" w:color="auto"/>
          <w:bottom w:val="single" w:sz="4" w:space="1" w:color="auto"/>
          <w:right w:val="single" w:sz="4" w:space="4" w:color="auto"/>
        </w:pBdr>
        <w:spacing w:before="120" w:after="120"/>
        <w:rPr>
          <w:b/>
          <w:sz w:val="20"/>
          <w:lang w:val="en-AU"/>
        </w:rPr>
      </w:pPr>
      <w:r w:rsidRPr="00360C8F">
        <w:rPr>
          <w:b/>
          <w:sz w:val="20"/>
          <w:lang w:val="en-AU"/>
        </w:rPr>
        <w:t>Note:</w:t>
      </w:r>
    </w:p>
    <w:p w14:paraId="667B5324" w14:textId="77777777" w:rsidR="00187F02" w:rsidRPr="00360C8F" w:rsidRDefault="00187F02" w:rsidP="00510B7A">
      <w:pPr>
        <w:widowControl/>
        <w:pBdr>
          <w:top w:val="single" w:sz="4" w:space="1" w:color="auto"/>
          <w:left w:val="single" w:sz="4" w:space="4" w:color="auto"/>
          <w:bottom w:val="single" w:sz="4" w:space="1" w:color="auto"/>
          <w:right w:val="single" w:sz="4" w:space="4" w:color="auto"/>
        </w:pBdr>
        <w:spacing w:before="120" w:after="120"/>
        <w:rPr>
          <w:sz w:val="20"/>
          <w:lang w:val="en-AU"/>
        </w:rPr>
      </w:pPr>
    </w:p>
    <w:p w14:paraId="24318B3C" w14:textId="77777777" w:rsidR="00187F02" w:rsidRPr="00360C8F" w:rsidRDefault="00187F02" w:rsidP="00510B7A">
      <w:pPr>
        <w:widowControl/>
        <w:pBdr>
          <w:top w:val="single" w:sz="4" w:space="1" w:color="auto"/>
          <w:left w:val="single" w:sz="4" w:space="4" w:color="auto"/>
          <w:bottom w:val="single" w:sz="4" w:space="1" w:color="auto"/>
          <w:right w:val="single" w:sz="4" w:space="4" w:color="auto"/>
        </w:pBdr>
        <w:spacing w:before="120" w:after="120"/>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BB739A4" w14:textId="77777777" w:rsidR="00187F02" w:rsidRDefault="00187F02" w:rsidP="00510B7A">
      <w:pPr>
        <w:widowControl/>
        <w:spacing w:before="120" w:after="120"/>
        <w:rPr>
          <w:sz w:val="20"/>
        </w:rPr>
      </w:pPr>
    </w:p>
    <w:p w14:paraId="5F2B0EEF" w14:textId="77777777" w:rsidR="00187F02" w:rsidRDefault="00187F02" w:rsidP="00510B7A">
      <w:pPr>
        <w:widowControl/>
        <w:spacing w:before="120" w:after="120"/>
        <w:rPr>
          <w:sz w:val="20"/>
        </w:rPr>
      </w:pPr>
      <w:r>
        <w:rPr>
          <w:sz w:val="20"/>
        </w:rPr>
        <w:br w:type="page"/>
      </w:r>
    </w:p>
    <w:p w14:paraId="11E8D62C" w14:textId="77777777" w:rsidR="00187F02" w:rsidRPr="005F585D" w:rsidRDefault="00187F02" w:rsidP="00510B7A">
      <w:pPr>
        <w:pStyle w:val="FSCDraftingitemheading"/>
        <w:widowControl/>
      </w:pPr>
      <w:r w:rsidRPr="00D433B1">
        <w:lastRenderedPageBreak/>
        <w:t>1</w:t>
      </w:r>
      <w:r w:rsidRPr="00D433B1">
        <w:tab/>
        <w:t>Name</w:t>
      </w:r>
    </w:p>
    <w:p w14:paraId="2C6D0651" w14:textId="3CCEFBAA" w:rsidR="00187F02" w:rsidRPr="00F618DF" w:rsidRDefault="00187F02" w:rsidP="00510B7A">
      <w:pPr>
        <w:pStyle w:val="FSCDraftingitem"/>
      </w:pPr>
      <w:r w:rsidRPr="00DB170D">
        <w:t xml:space="preserve">This instrument is the </w:t>
      </w:r>
      <w:r w:rsidRPr="00792F7C">
        <w:rPr>
          <w:i/>
        </w:rPr>
        <w:t>Food Standards (</w:t>
      </w:r>
      <w:r w:rsidRPr="003402EC">
        <w:rPr>
          <w:i/>
        </w:rPr>
        <w:t xml:space="preserve">Application A1190 – </w:t>
      </w:r>
      <w:r w:rsidR="00072704">
        <w:rPr>
          <w:i/>
        </w:rPr>
        <w:t>2′-FL</w:t>
      </w:r>
      <w:r w:rsidRPr="003402EC">
        <w:rPr>
          <w:i/>
        </w:rPr>
        <w:t xml:space="preserve"> in infant formula and other products</w:t>
      </w:r>
      <w:r w:rsidRPr="00792F7C">
        <w:rPr>
          <w:i/>
        </w:rPr>
        <w:t>) Variation</w:t>
      </w:r>
      <w:r w:rsidRPr="00F618DF">
        <w:t>.</w:t>
      </w:r>
    </w:p>
    <w:p w14:paraId="6D980AF8" w14:textId="77777777" w:rsidR="00187F02" w:rsidRPr="003402EC" w:rsidRDefault="00187F02" w:rsidP="00510B7A">
      <w:pPr>
        <w:pStyle w:val="FSCDraftingitemheading"/>
        <w:widowControl/>
      </w:pPr>
      <w:r w:rsidRPr="00D433B1">
        <w:t>2</w:t>
      </w:r>
      <w:r w:rsidRPr="00D433B1">
        <w:tab/>
        <w:t xml:space="preserve">Variation to </w:t>
      </w:r>
      <w:r>
        <w:t>S</w:t>
      </w:r>
      <w:r w:rsidRPr="003402EC">
        <w:t xml:space="preserve">tandards in the </w:t>
      </w:r>
      <w:r w:rsidRPr="003402EC">
        <w:rPr>
          <w:i/>
        </w:rPr>
        <w:t>Australia New Zealand Food Standards Code</w:t>
      </w:r>
    </w:p>
    <w:p w14:paraId="7CE9B91C" w14:textId="77777777" w:rsidR="00187F02" w:rsidRDefault="00187F02" w:rsidP="00510B7A">
      <w:pPr>
        <w:pStyle w:val="FSCDraftingitem"/>
      </w:pPr>
      <w:r w:rsidRPr="003402EC">
        <w:t xml:space="preserve">The Schedule varies Standards in the </w:t>
      </w:r>
      <w:r w:rsidRPr="00792F7C">
        <w:rPr>
          <w:i/>
        </w:rPr>
        <w:t>Australia New Zealand Food Standards Code</w:t>
      </w:r>
      <w:r>
        <w:t>.</w:t>
      </w:r>
    </w:p>
    <w:p w14:paraId="2D6F7277" w14:textId="77777777" w:rsidR="00187F02" w:rsidRPr="00D433B1" w:rsidRDefault="00187F02" w:rsidP="00510B7A">
      <w:pPr>
        <w:pStyle w:val="FSCDraftingitemheading"/>
        <w:widowControl/>
      </w:pPr>
      <w:r w:rsidRPr="00D433B1">
        <w:t>3</w:t>
      </w:r>
      <w:r w:rsidRPr="00D433B1">
        <w:tab/>
        <w:t>Commencement</w:t>
      </w:r>
    </w:p>
    <w:p w14:paraId="27870C7C" w14:textId="77777777" w:rsidR="00187F02" w:rsidRDefault="00187F02" w:rsidP="00510B7A">
      <w:pPr>
        <w:pStyle w:val="FSCDraftingitem"/>
      </w:pPr>
      <w:r>
        <w:t>The variation commenc</w:t>
      </w:r>
      <w:r w:rsidRPr="000055C4">
        <w:t>e</w:t>
      </w:r>
      <w:r>
        <w:t>s</w:t>
      </w:r>
      <w:r w:rsidRPr="000055C4">
        <w:t xml:space="preserve"> on</w:t>
      </w:r>
      <w:r>
        <w:t xml:space="preserve"> the date of gazettal.</w:t>
      </w:r>
    </w:p>
    <w:p w14:paraId="02F6AEF1" w14:textId="77777777" w:rsidR="00187F02" w:rsidRDefault="00187F02" w:rsidP="00510B7A">
      <w:pPr>
        <w:pStyle w:val="FSCDraftingitemheading"/>
        <w:widowControl/>
      </w:pPr>
      <w:r>
        <w:t>4</w:t>
      </w:r>
      <w:r>
        <w:tab/>
        <w:t>Order in which amendments in the Schedule take effect</w:t>
      </w:r>
    </w:p>
    <w:p w14:paraId="4CA20860" w14:textId="77777777" w:rsidR="00187F02" w:rsidRDefault="00187F02" w:rsidP="00510B7A">
      <w:pPr>
        <w:pStyle w:val="FSCDraftingitem"/>
      </w:pPr>
      <w:r>
        <w:t>Amendments in the Schedule take effect in numerical order.</w:t>
      </w:r>
    </w:p>
    <w:p w14:paraId="7F2826E3" w14:textId="77777777" w:rsidR="00187F02" w:rsidRDefault="00187F02" w:rsidP="00510B7A">
      <w:pPr>
        <w:pStyle w:val="FSCDraftingitem"/>
      </w:pPr>
    </w:p>
    <w:p w14:paraId="4268C568" w14:textId="77777777" w:rsidR="00187F02" w:rsidRDefault="00187F02" w:rsidP="00510B7A">
      <w:pPr>
        <w:widowControl/>
        <w:spacing w:before="120" w:after="120"/>
        <w:jc w:val="center"/>
        <w:rPr>
          <w:b/>
          <w:sz w:val="20"/>
        </w:rPr>
      </w:pPr>
      <w:r w:rsidRPr="00D433B1">
        <w:rPr>
          <w:b/>
          <w:sz w:val="20"/>
        </w:rPr>
        <w:t>Schedule</w:t>
      </w:r>
    </w:p>
    <w:p w14:paraId="4869F2D5" w14:textId="77777777" w:rsidR="00187F02" w:rsidRPr="00D433B1" w:rsidRDefault="00187F02" w:rsidP="00510B7A">
      <w:pPr>
        <w:widowControl/>
        <w:spacing w:before="120" w:after="120"/>
        <w:jc w:val="center"/>
        <w:rPr>
          <w:b/>
          <w:sz w:val="20"/>
        </w:rPr>
      </w:pPr>
    </w:p>
    <w:p w14:paraId="2395BD3B" w14:textId="77777777" w:rsidR="00187F02" w:rsidRPr="005C7DDE" w:rsidRDefault="00187F02" w:rsidP="00510B7A">
      <w:pPr>
        <w:pStyle w:val="FSCDraftingitem"/>
        <w:rPr>
          <w:lang w:bidi="en-US"/>
        </w:rPr>
      </w:pPr>
      <w:r w:rsidRPr="005C7DDE">
        <w:rPr>
          <w:b/>
          <w:lang w:bidi="en-US"/>
        </w:rPr>
        <w:t>[1]</w:t>
      </w:r>
      <w:r w:rsidRPr="005C7DDE">
        <w:rPr>
          <w:b/>
          <w:lang w:bidi="en-US"/>
        </w:rPr>
        <w:tab/>
        <w:t xml:space="preserve">Standard 2.9.1 </w:t>
      </w:r>
      <w:r w:rsidRPr="005C7DDE">
        <w:rPr>
          <w:lang w:bidi="en-US"/>
        </w:rPr>
        <w:t>is varied by omitting</w:t>
      </w:r>
      <w:r>
        <w:rPr>
          <w:lang w:bidi="en-US"/>
        </w:rPr>
        <w:t xml:space="preserve"> </w:t>
      </w:r>
      <w:r w:rsidRPr="005C7DDE">
        <w:rPr>
          <w:lang w:bidi="en-US"/>
        </w:rPr>
        <w:t>“2′-O-fucosyllactose” (wherever occurring)</w:t>
      </w:r>
      <w:r>
        <w:rPr>
          <w:lang w:bidi="en-US"/>
        </w:rPr>
        <w:t xml:space="preserve"> in sub</w:t>
      </w:r>
      <w:r w:rsidRPr="00C56562">
        <w:rPr>
          <w:lang w:bidi="en-US"/>
        </w:rPr>
        <w:t xml:space="preserve">section </w:t>
      </w:r>
      <w:r>
        <w:t>2.9.1—7(2)</w:t>
      </w:r>
      <w:r w:rsidRPr="005C7DDE">
        <w:rPr>
          <w:lang w:bidi="en-US"/>
        </w:rPr>
        <w:t>, substituting “2′-fucosyllactose”</w:t>
      </w:r>
    </w:p>
    <w:p w14:paraId="428950D5" w14:textId="77777777" w:rsidR="00187F02" w:rsidRPr="00C56562" w:rsidRDefault="00187F02" w:rsidP="00510B7A">
      <w:pPr>
        <w:pStyle w:val="FSCDraftingitem"/>
        <w:rPr>
          <w:lang w:bidi="en-US"/>
        </w:rPr>
      </w:pPr>
      <w:r>
        <w:rPr>
          <w:b/>
          <w:lang w:bidi="en-US"/>
        </w:rPr>
        <w:t>[2]</w:t>
      </w:r>
      <w:r>
        <w:rPr>
          <w:b/>
          <w:lang w:bidi="en-US"/>
        </w:rPr>
        <w:tab/>
      </w:r>
      <w:r w:rsidRPr="00C56562">
        <w:rPr>
          <w:b/>
          <w:lang w:bidi="en-US"/>
        </w:rPr>
        <w:t>Schedule 3</w:t>
      </w:r>
      <w:r w:rsidRPr="00C56562">
        <w:rPr>
          <w:lang w:bidi="en-US"/>
        </w:rPr>
        <w:t xml:space="preserve"> is varied by </w:t>
      </w:r>
    </w:p>
    <w:p w14:paraId="28EED166" w14:textId="77777777" w:rsidR="00187F02" w:rsidRDefault="00187F02" w:rsidP="00510B7A">
      <w:pPr>
        <w:pStyle w:val="FSCDraftingitem"/>
        <w:rPr>
          <w:lang w:bidi="en-US"/>
        </w:rPr>
      </w:pPr>
      <w:r w:rsidRPr="00C56562">
        <w:rPr>
          <w:lang w:bidi="en-US"/>
        </w:rPr>
        <w:t>[</w:t>
      </w:r>
      <w:r>
        <w:rPr>
          <w:lang w:bidi="en-US"/>
        </w:rPr>
        <w:t>2</w:t>
      </w:r>
      <w:r w:rsidRPr="00C56562">
        <w:rPr>
          <w:lang w:bidi="en-US"/>
        </w:rPr>
        <w:t>.1]</w:t>
      </w:r>
      <w:r w:rsidRPr="00C56562">
        <w:rPr>
          <w:lang w:bidi="en-US"/>
        </w:rPr>
        <w:tab/>
      </w:r>
      <w:r>
        <w:rPr>
          <w:lang w:bidi="en-US"/>
        </w:rPr>
        <w:t xml:space="preserve">omitting </w:t>
      </w:r>
      <w:r w:rsidRPr="00C56562">
        <w:rPr>
          <w:lang w:bidi="en-US"/>
        </w:rPr>
        <w:t xml:space="preserve">in the table to subsection </w:t>
      </w:r>
      <w:r w:rsidRPr="00C56562">
        <w:t>S3—2</w:t>
      </w:r>
      <w:r w:rsidRPr="00C56562">
        <w:rPr>
          <w:lang w:bidi="en-US"/>
        </w:rPr>
        <w:t xml:space="preserve">(2)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O-fucosyllactose' in the table in subsection S3-2(2) in alphabetical order."/>
      </w:tblPr>
      <w:tblGrid>
        <w:gridCol w:w="4254"/>
        <w:gridCol w:w="2550"/>
      </w:tblGrid>
      <w:tr w:rsidR="00187F02" w:rsidRPr="00C56562" w14:paraId="6E5F2B80" w14:textId="77777777" w:rsidTr="00187F02">
        <w:trPr>
          <w:cantSplit/>
          <w:jc w:val="center"/>
        </w:trPr>
        <w:tc>
          <w:tcPr>
            <w:tcW w:w="4254" w:type="dxa"/>
            <w:hideMark/>
          </w:tcPr>
          <w:p w14:paraId="6CE3FD9C" w14:textId="77777777" w:rsidR="00187F02" w:rsidRPr="00C56562" w:rsidRDefault="00187F02" w:rsidP="00510B7A">
            <w:pPr>
              <w:pStyle w:val="FSCtblMain"/>
              <w:spacing w:before="120" w:after="120"/>
            </w:pPr>
            <w:r w:rsidRPr="00C56562">
              <w:t>2</w:t>
            </w:r>
            <w:r w:rsidRPr="00C56562">
              <w:rPr>
                <w:i/>
              </w:rPr>
              <w:t>′-</w:t>
            </w:r>
            <w:r w:rsidRPr="00C56562">
              <w:t>O-fucosyllactose</w:t>
            </w:r>
          </w:p>
        </w:tc>
        <w:tc>
          <w:tcPr>
            <w:tcW w:w="2550" w:type="dxa"/>
            <w:hideMark/>
          </w:tcPr>
          <w:p w14:paraId="0185356C" w14:textId="77777777" w:rsidR="00187F02" w:rsidRPr="00C56562" w:rsidRDefault="00187F02" w:rsidP="00510B7A">
            <w:pPr>
              <w:pStyle w:val="FSCtblMain"/>
              <w:spacing w:before="120" w:after="120"/>
            </w:pPr>
            <w:r w:rsidRPr="00C56562">
              <w:t>section S3—40</w:t>
            </w:r>
          </w:p>
        </w:tc>
      </w:tr>
    </w:tbl>
    <w:p w14:paraId="5414C157" w14:textId="77777777" w:rsidR="00187F02" w:rsidRDefault="00187F02" w:rsidP="00510B7A">
      <w:pPr>
        <w:pStyle w:val="FSCDraftingitem"/>
        <w:rPr>
          <w:lang w:bidi="en-US"/>
        </w:rPr>
      </w:pPr>
      <w:r>
        <w:rPr>
          <w:lang w:bidi="en-US"/>
        </w:rPr>
        <w:tab/>
        <w:t>and substituting, in alphabetical order</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K-12' in the table in subsection S3–40 in alphabetical order."/>
      </w:tblPr>
      <w:tblGrid>
        <w:gridCol w:w="4254"/>
        <w:gridCol w:w="2550"/>
      </w:tblGrid>
      <w:tr w:rsidR="00187F02" w:rsidRPr="00C56562" w14:paraId="6CD1E1D2" w14:textId="77777777" w:rsidTr="00187F02">
        <w:trPr>
          <w:cantSplit/>
          <w:jc w:val="center"/>
        </w:trPr>
        <w:tc>
          <w:tcPr>
            <w:tcW w:w="4254" w:type="dxa"/>
            <w:hideMark/>
          </w:tcPr>
          <w:p w14:paraId="3B4A04F1" w14:textId="77777777" w:rsidR="00187F02" w:rsidRPr="00C56562" w:rsidRDefault="00187F02" w:rsidP="00510B7A">
            <w:pPr>
              <w:pStyle w:val="FSCtblMain"/>
              <w:spacing w:before="120" w:after="120"/>
            </w:pPr>
            <w:r w:rsidRPr="00C56562">
              <w:t>2</w:t>
            </w:r>
            <w:r w:rsidRPr="00C56562">
              <w:rPr>
                <w:i/>
              </w:rPr>
              <w:t>′-</w:t>
            </w:r>
            <w:r w:rsidRPr="00C56562">
              <w:t>fucosyllactose</w:t>
            </w:r>
            <w:r>
              <w:t xml:space="preserve"> sourced from </w:t>
            </w:r>
            <w:r>
              <w:rPr>
                <w:i/>
              </w:rPr>
              <w:t xml:space="preserve">Escherichia coli </w:t>
            </w:r>
            <w:r w:rsidRPr="004E0A99">
              <w:t>K-12</w:t>
            </w:r>
            <w:r>
              <w:t xml:space="preserve"> </w:t>
            </w:r>
          </w:p>
        </w:tc>
        <w:tc>
          <w:tcPr>
            <w:tcW w:w="2550" w:type="dxa"/>
            <w:hideMark/>
          </w:tcPr>
          <w:p w14:paraId="21AC5F54" w14:textId="77777777" w:rsidR="00187F02" w:rsidRPr="00C56562" w:rsidRDefault="00187F02" w:rsidP="00510B7A">
            <w:pPr>
              <w:pStyle w:val="FSCtblMain"/>
              <w:spacing w:before="120" w:after="120"/>
            </w:pPr>
            <w:r w:rsidRPr="00C56562">
              <w:t>section S3—40</w:t>
            </w:r>
          </w:p>
        </w:tc>
      </w:tr>
    </w:tbl>
    <w:p w14:paraId="4AD119FE" w14:textId="77777777" w:rsidR="00187F02" w:rsidRDefault="00187F02" w:rsidP="00510B7A">
      <w:pPr>
        <w:pStyle w:val="FSCDraftingitem"/>
        <w:rPr>
          <w:lang w:bidi="en-US"/>
        </w:rPr>
      </w:pPr>
      <w:r w:rsidRPr="00C56562">
        <w:rPr>
          <w:lang w:bidi="en-US"/>
        </w:rPr>
        <w:t>[</w:t>
      </w:r>
      <w:r>
        <w:rPr>
          <w:lang w:bidi="en-US"/>
        </w:rPr>
        <w:t>2</w:t>
      </w:r>
      <w:r w:rsidRPr="00C56562">
        <w:rPr>
          <w:lang w:bidi="en-US"/>
        </w:rPr>
        <w:t>.</w:t>
      </w:r>
      <w:r>
        <w:rPr>
          <w:lang w:bidi="en-US"/>
        </w:rPr>
        <w:t>2</w:t>
      </w:r>
      <w:r w:rsidRPr="00C56562">
        <w:rPr>
          <w:lang w:bidi="en-US"/>
        </w:rPr>
        <w:t>]</w:t>
      </w:r>
      <w:r w:rsidRPr="00C56562">
        <w:rPr>
          <w:lang w:bidi="en-US"/>
        </w:rPr>
        <w:tab/>
      </w:r>
      <w:r>
        <w:rPr>
          <w:lang w:bidi="en-US"/>
        </w:rPr>
        <w:t xml:space="preserve">inserting </w:t>
      </w:r>
      <w:r w:rsidRPr="00C56562">
        <w:rPr>
          <w:lang w:bidi="en-US"/>
        </w:rPr>
        <w:t xml:space="preserve">in the table to subsection </w:t>
      </w:r>
      <w:r w:rsidRPr="00C56562">
        <w:t>S3—2</w:t>
      </w:r>
      <w:r w:rsidRPr="00C56562">
        <w:rPr>
          <w:lang w:bidi="en-US"/>
        </w:rPr>
        <w:t>(2)</w:t>
      </w:r>
      <w:r w:rsidRPr="00944008">
        <w:t>, in alphabetical order</w:t>
      </w:r>
      <w:r w:rsidRPr="00C56562">
        <w:rPr>
          <w:lang w:bidi="en-US"/>
        </w:rPr>
        <w:t xml:space="preserve"> </w:t>
      </w:r>
      <w:r>
        <w:rPr>
          <w:lang w:bidi="en-US"/>
        </w:rPr>
        <w:t xml:space="preserve"> </w:t>
      </w:r>
    </w:p>
    <w:tbl>
      <w:tblPr>
        <w:tblStyle w:val="TableGrid2"/>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ried by inserting '2′-fucosyllactose sourced from Escherichia coli BL21' in the table in subsection S3–45 in alphabetical order."/>
      </w:tblPr>
      <w:tblGrid>
        <w:gridCol w:w="4254"/>
        <w:gridCol w:w="2550"/>
      </w:tblGrid>
      <w:tr w:rsidR="00187F02" w:rsidRPr="00C56562" w14:paraId="0280BCA6" w14:textId="77777777" w:rsidTr="00187F02">
        <w:trPr>
          <w:cantSplit/>
          <w:jc w:val="center"/>
        </w:trPr>
        <w:tc>
          <w:tcPr>
            <w:tcW w:w="4254" w:type="dxa"/>
            <w:hideMark/>
          </w:tcPr>
          <w:p w14:paraId="52DF03E8" w14:textId="77777777" w:rsidR="00187F02" w:rsidRPr="00C56562" w:rsidRDefault="00187F02" w:rsidP="00510B7A">
            <w:pPr>
              <w:pStyle w:val="FSCtblMain"/>
              <w:spacing w:before="120" w:after="120"/>
            </w:pPr>
            <w:r w:rsidRPr="00C56562">
              <w:t>2</w:t>
            </w:r>
            <w:r w:rsidRPr="00C56562">
              <w:rPr>
                <w:i/>
              </w:rPr>
              <w:t>′-</w:t>
            </w:r>
            <w:r w:rsidRPr="00C56562">
              <w:t>fucosyllactose</w:t>
            </w:r>
            <w:r>
              <w:t xml:space="preserve"> </w:t>
            </w:r>
            <w:r w:rsidRPr="006B26BD">
              <w:rPr>
                <w:szCs w:val="18"/>
              </w:rPr>
              <w:t xml:space="preserve">sourced from </w:t>
            </w:r>
            <w:r w:rsidRPr="006B26BD">
              <w:rPr>
                <w:i/>
                <w:szCs w:val="18"/>
              </w:rPr>
              <w:t xml:space="preserve">Escherichia coli </w:t>
            </w:r>
            <w:r w:rsidRPr="006B26BD">
              <w:rPr>
                <w:szCs w:val="18"/>
              </w:rPr>
              <w:t>BL21</w:t>
            </w:r>
          </w:p>
        </w:tc>
        <w:tc>
          <w:tcPr>
            <w:tcW w:w="2550" w:type="dxa"/>
            <w:hideMark/>
          </w:tcPr>
          <w:p w14:paraId="50A5C4EE" w14:textId="77777777" w:rsidR="00187F02" w:rsidRPr="00C56562" w:rsidRDefault="00187F02" w:rsidP="00510B7A">
            <w:pPr>
              <w:pStyle w:val="FSCtblMain"/>
              <w:spacing w:before="120" w:after="120"/>
            </w:pPr>
            <w:r w:rsidRPr="00C56562">
              <w:t>section S3—</w:t>
            </w:r>
            <w:r>
              <w:t>45</w:t>
            </w:r>
          </w:p>
        </w:tc>
      </w:tr>
    </w:tbl>
    <w:p w14:paraId="1FD1EC25" w14:textId="77777777" w:rsidR="00187F02" w:rsidRPr="007B2F80" w:rsidRDefault="00187F02" w:rsidP="00510B7A">
      <w:pPr>
        <w:pStyle w:val="FSCDraftingitem"/>
        <w:rPr>
          <w:lang w:bidi="en-US"/>
        </w:rPr>
      </w:pPr>
      <w:r w:rsidRPr="007B2F80">
        <w:rPr>
          <w:lang w:bidi="en-US"/>
        </w:rPr>
        <w:t>[</w:t>
      </w:r>
      <w:r>
        <w:rPr>
          <w:lang w:bidi="en-US"/>
        </w:rPr>
        <w:t>2</w:t>
      </w:r>
      <w:r w:rsidRPr="007B2F80">
        <w:rPr>
          <w:lang w:bidi="en-US"/>
        </w:rPr>
        <w:t>.3]</w:t>
      </w:r>
      <w:r w:rsidRPr="007B2F80">
        <w:rPr>
          <w:lang w:bidi="en-US"/>
        </w:rPr>
        <w:tab/>
        <w:t>omitting the heading for section S3—40, substituting</w:t>
      </w:r>
    </w:p>
    <w:p w14:paraId="535D17FE" w14:textId="77777777" w:rsidR="00187F02" w:rsidRDefault="00187F02" w:rsidP="00510B7A">
      <w:pPr>
        <w:pStyle w:val="FSCh5Section"/>
        <w:widowControl/>
        <w:spacing w:before="120"/>
      </w:pPr>
      <w:r>
        <w:t>S3—40</w:t>
      </w:r>
      <w:r>
        <w:tab/>
        <w:t>Specification for 2′</w:t>
      </w:r>
      <w:r w:rsidRPr="007B2F80">
        <w:t xml:space="preserve">-fucosyllactose </w:t>
      </w:r>
      <w:r w:rsidRPr="00EC22F2">
        <w:t xml:space="preserve">sourced from </w:t>
      </w:r>
      <w:r w:rsidRPr="00EC22F2">
        <w:rPr>
          <w:i/>
        </w:rPr>
        <w:t>Escherichia coli</w:t>
      </w:r>
      <w:r w:rsidRPr="00EC22F2">
        <w:t xml:space="preserve"> K-12</w:t>
      </w:r>
    </w:p>
    <w:p w14:paraId="356E3FDE" w14:textId="77777777" w:rsidR="00187F02" w:rsidRDefault="00187F02" w:rsidP="00510B7A">
      <w:pPr>
        <w:pStyle w:val="FSCDraftingitem"/>
        <w:rPr>
          <w:lang w:bidi="en-US"/>
        </w:rPr>
      </w:pPr>
      <w:r>
        <w:rPr>
          <w:lang w:bidi="en-US"/>
        </w:rPr>
        <w:t>[2.4]</w:t>
      </w:r>
      <w:r>
        <w:rPr>
          <w:lang w:bidi="en-US"/>
        </w:rPr>
        <w:tab/>
        <w:t>omitting “</w:t>
      </w:r>
      <w:r w:rsidRPr="0068561C">
        <w:t>2′-</w:t>
      </w:r>
      <w:r>
        <w:t>O-</w:t>
      </w:r>
      <w:r w:rsidRPr="0068561C">
        <w:t>fucosyllactose (2′-FL)</w:t>
      </w:r>
      <w:r>
        <w:t>”</w:t>
      </w:r>
      <w:r>
        <w:rPr>
          <w:lang w:bidi="en-US"/>
        </w:rPr>
        <w:t xml:space="preserve"> in </w:t>
      </w:r>
      <w:r>
        <w:t xml:space="preserve">section </w:t>
      </w:r>
      <w:r w:rsidRPr="007B2F80">
        <w:rPr>
          <w:lang w:bidi="en-US"/>
        </w:rPr>
        <w:t>S3—40</w:t>
      </w:r>
      <w:r>
        <w:t>, substituting “2′</w:t>
      </w:r>
      <w:r w:rsidRPr="007B2F80">
        <w:t xml:space="preserve">-fucosyllactose </w:t>
      </w:r>
      <w:r>
        <w:t>(2′</w:t>
      </w:r>
      <w:r>
        <w:noBreakHyphen/>
      </w:r>
      <w:r w:rsidRPr="0068561C">
        <w:t>FL)</w:t>
      </w:r>
      <w:r>
        <w:t xml:space="preserve"> </w:t>
      </w:r>
      <w:r w:rsidRPr="007B2F80">
        <w:t xml:space="preserve">sourced from </w:t>
      </w:r>
      <w:r w:rsidRPr="00A32A84">
        <w:rPr>
          <w:i/>
        </w:rPr>
        <w:t>Escherichia coli</w:t>
      </w:r>
      <w:r w:rsidRPr="007B2F80">
        <w:t xml:space="preserve"> K-</w:t>
      </w:r>
      <w:r>
        <w:t>1</w:t>
      </w:r>
      <w:r w:rsidRPr="007B2F80">
        <w:t>2</w:t>
      </w:r>
      <w:r>
        <w:t>”</w:t>
      </w:r>
    </w:p>
    <w:p w14:paraId="61950442" w14:textId="77777777" w:rsidR="00187F02" w:rsidRDefault="00187F02" w:rsidP="00510B7A">
      <w:pPr>
        <w:pStyle w:val="FSCDraftingitem"/>
        <w:rPr>
          <w:lang w:bidi="en-US"/>
        </w:rPr>
      </w:pPr>
      <w:r>
        <w:rPr>
          <w:lang w:bidi="en-US"/>
        </w:rPr>
        <w:t>[2.5]</w:t>
      </w:r>
      <w:r>
        <w:rPr>
          <w:lang w:bidi="en-US"/>
        </w:rPr>
        <w:tab/>
      </w:r>
      <w:r w:rsidRPr="00C56562">
        <w:rPr>
          <w:lang w:bidi="en-US"/>
        </w:rPr>
        <w:t>inserting after subsection S3—</w:t>
      </w:r>
      <w:r>
        <w:rPr>
          <w:lang w:bidi="en-US"/>
        </w:rPr>
        <w:t>44</w:t>
      </w:r>
    </w:p>
    <w:p w14:paraId="2CD1454C" w14:textId="77777777" w:rsidR="00187F02" w:rsidRPr="006B26BD" w:rsidRDefault="00187F02" w:rsidP="00510B7A">
      <w:pPr>
        <w:pStyle w:val="FSCh5Section"/>
        <w:widowControl/>
        <w:spacing w:before="120"/>
        <w:rPr>
          <w:szCs w:val="22"/>
        </w:rPr>
      </w:pPr>
      <w:r>
        <w:t>S3—45</w:t>
      </w:r>
      <w:r>
        <w:tab/>
        <w:t xml:space="preserve">Specification for </w:t>
      </w:r>
      <w:r w:rsidRPr="006D4A9F">
        <w:t>2</w:t>
      </w:r>
      <w:r w:rsidRPr="006D4A9F">
        <w:rPr>
          <w:rFonts w:cs="Arial"/>
        </w:rPr>
        <w:t>′</w:t>
      </w:r>
      <w:r>
        <w:rPr>
          <w:i/>
        </w:rPr>
        <w:t>-</w:t>
      </w:r>
      <w:r w:rsidRPr="006B26BD">
        <w:rPr>
          <w:szCs w:val="22"/>
        </w:rPr>
        <w:t xml:space="preserve">fucosyllactose sourced from </w:t>
      </w:r>
      <w:r w:rsidRPr="00373BF3">
        <w:rPr>
          <w:rFonts w:cs="Arial"/>
          <w:i/>
          <w:szCs w:val="22"/>
        </w:rPr>
        <w:t>Escherichia coli</w:t>
      </w:r>
      <w:r w:rsidRPr="006B26BD">
        <w:rPr>
          <w:i/>
          <w:szCs w:val="22"/>
        </w:rPr>
        <w:t xml:space="preserve"> </w:t>
      </w:r>
      <w:r w:rsidRPr="006B26BD">
        <w:rPr>
          <w:szCs w:val="22"/>
        </w:rPr>
        <w:t>BL21</w:t>
      </w:r>
    </w:p>
    <w:p w14:paraId="735C4EF8" w14:textId="77777777" w:rsidR="00187F02" w:rsidRDefault="00187F02" w:rsidP="00510B7A">
      <w:pPr>
        <w:pStyle w:val="FSCtMain"/>
        <w:widowControl/>
        <w:ind w:firstLine="0"/>
      </w:pPr>
      <w:r>
        <w:tab/>
        <w:t>For 2′-</w:t>
      </w:r>
      <w:r w:rsidRPr="0068561C">
        <w:t>fucosyllactose (2′-FL)</w:t>
      </w:r>
      <w:r>
        <w:t xml:space="preserve"> </w:t>
      </w:r>
      <w:r w:rsidRPr="00D441B2">
        <w:t xml:space="preserve">sourced from </w:t>
      </w:r>
      <w:r w:rsidRPr="00373BF3">
        <w:rPr>
          <w:i/>
        </w:rPr>
        <w:t>Escherichia coli</w:t>
      </w:r>
      <w:r w:rsidRPr="00D441B2">
        <w:t xml:space="preserve"> BL21</w:t>
      </w:r>
      <w:r w:rsidRPr="0068561C">
        <w:t>, the specifications are the following:</w:t>
      </w:r>
    </w:p>
    <w:p w14:paraId="374E828B"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c</w:t>
      </w:r>
      <w:r w:rsidRPr="00B25BA2">
        <w:rPr>
          <w:lang w:bidi="en-US"/>
        </w:rPr>
        <w:t>hemical name</w:t>
      </w:r>
      <w:r>
        <w:rPr>
          <w:lang w:bidi="en-US"/>
        </w:rPr>
        <w:t>—</w:t>
      </w:r>
      <w:r w:rsidRPr="00B25BA2">
        <w:rPr>
          <w:lang w:bidi="en-US"/>
        </w:rPr>
        <w:t>α-L-</w:t>
      </w:r>
      <w:r>
        <w:rPr>
          <w:lang w:bidi="en-US"/>
        </w:rPr>
        <w:t>f</w:t>
      </w:r>
      <w:r w:rsidRPr="00B25BA2">
        <w:rPr>
          <w:lang w:bidi="en-US"/>
        </w:rPr>
        <w:t>ucopyranosyl-(1→2)-β-D-galactopyranosyl-(1→4)-D-glucopyranose</w:t>
      </w:r>
    </w:p>
    <w:p w14:paraId="59F2F17A"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c</w:t>
      </w:r>
      <w:r w:rsidRPr="00B25BA2">
        <w:rPr>
          <w:lang w:bidi="en-US"/>
        </w:rPr>
        <w:t>hemical formula</w:t>
      </w:r>
      <w:r>
        <w:rPr>
          <w:lang w:bidi="en-US"/>
        </w:rPr>
        <w:t>—</w:t>
      </w:r>
      <w:r w:rsidRPr="00B25BA2">
        <w:rPr>
          <w:lang w:val="en" w:bidi="en-US"/>
        </w:rPr>
        <w:t>C</w:t>
      </w:r>
      <w:r w:rsidRPr="00B25BA2">
        <w:rPr>
          <w:vertAlign w:val="subscript"/>
          <w:lang w:val="en" w:bidi="en-US"/>
        </w:rPr>
        <w:t>18</w:t>
      </w:r>
      <w:r w:rsidRPr="00B25BA2">
        <w:rPr>
          <w:lang w:val="en" w:bidi="en-US"/>
        </w:rPr>
        <w:t>H</w:t>
      </w:r>
      <w:r w:rsidRPr="00B25BA2">
        <w:rPr>
          <w:vertAlign w:val="subscript"/>
          <w:lang w:val="en" w:bidi="en-US"/>
        </w:rPr>
        <w:t>32</w:t>
      </w:r>
      <w:r w:rsidRPr="00B25BA2">
        <w:rPr>
          <w:lang w:val="en" w:bidi="en-US"/>
        </w:rPr>
        <w:t>O</w:t>
      </w:r>
      <w:r w:rsidRPr="00B25BA2">
        <w:rPr>
          <w:vertAlign w:val="subscript"/>
          <w:lang w:val="en" w:bidi="en-US"/>
        </w:rPr>
        <w:t>15</w:t>
      </w:r>
    </w:p>
    <w:p w14:paraId="5826AD23" w14:textId="77777777" w:rsidR="00187F02" w:rsidRPr="00B25BA2" w:rsidRDefault="00187F02" w:rsidP="00510B7A">
      <w:pPr>
        <w:pStyle w:val="FSCtPara"/>
        <w:widowControl/>
        <w:numPr>
          <w:ilvl w:val="0"/>
          <w:numId w:val="16"/>
        </w:numPr>
        <w:spacing w:before="120" w:after="120"/>
        <w:ind w:left="2268" w:hanging="566"/>
        <w:rPr>
          <w:lang w:bidi="en-US"/>
        </w:rPr>
      </w:pPr>
      <w:r w:rsidRPr="00B25BA2">
        <w:rPr>
          <w:lang w:bidi="en-US"/>
        </w:rPr>
        <w:t>CAS number</w:t>
      </w:r>
      <w:r>
        <w:rPr>
          <w:lang w:bidi="en-US"/>
        </w:rPr>
        <w:t>—</w:t>
      </w:r>
      <w:r w:rsidRPr="00B25BA2">
        <w:rPr>
          <w:lang w:bidi="en-US"/>
        </w:rPr>
        <w:t>41263-94-9</w:t>
      </w:r>
    </w:p>
    <w:p w14:paraId="5ECCED0E"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d</w:t>
      </w:r>
      <w:r w:rsidRPr="00B25BA2">
        <w:rPr>
          <w:lang w:bidi="en-US"/>
        </w:rPr>
        <w:t>escription</w:t>
      </w:r>
      <w:r>
        <w:rPr>
          <w:lang w:bidi="en-US"/>
        </w:rPr>
        <w:t>—either a w</w:t>
      </w:r>
      <w:r w:rsidRPr="00B25BA2">
        <w:rPr>
          <w:lang w:bidi="en-US"/>
        </w:rPr>
        <w:t>hite to ivory powder,</w:t>
      </w:r>
      <w:r>
        <w:rPr>
          <w:lang w:bidi="en-US"/>
        </w:rPr>
        <w:t xml:space="preserve"> </w:t>
      </w:r>
      <w:r w:rsidRPr="00B25BA2">
        <w:rPr>
          <w:lang w:bidi="en-US"/>
        </w:rPr>
        <w:t xml:space="preserve">or </w:t>
      </w:r>
      <w:r>
        <w:rPr>
          <w:lang w:bidi="en-US"/>
        </w:rPr>
        <w:t xml:space="preserve">a </w:t>
      </w:r>
      <w:r w:rsidRPr="00B25BA2">
        <w:rPr>
          <w:lang w:bidi="en-US"/>
        </w:rPr>
        <w:t>colourless to slightly yellow liquid</w:t>
      </w:r>
    </w:p>
    <w:p w14:paraId="76AF2E04"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2′-FL—n</w:t>
      </w:r>
      <w:r w:rsidRPr="00B25BA2">
        <w:rPr>
          <w:lang w:bidi="en-US"/>
        </w:rPr>
        <w:t>ot less than 90.0%</w:t>
      </w:r>
    </w:p>
    <w:p w14:paraId="398539ED"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D-l</w:t>
      </w:r>
      <w:r w:rsidRPr="00B25BA2">
        <w:rPr>
          <w:lang w:bidi="en-US"/>
        </w:rPr>
        <w:t>actose</w:t>
      </w:r>
      <w:r>
        <w:rPr>
          <w:lang w:bidi="en-US"/>
        </w:rPr>
        <w:t>—n</w:t>
      </w:r>
      <w:r w:rsidRPr="00B25BA2">
        <w:rPr>
          <w:lang w:bidi="en-US"/>
        </w:rPr>
        <w:t>ot more than 5.0%</w:t>
      </w:r>
    </w:p>
    <w:p w14:paraId="470C1748"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L-f</w:t>
      </w:r>
      <w:r w:rsidRPr="00B25BA2">
        <w:rPr>
          <w:lang w:bidi="en-US"/>
        </w:rPr>
        <w:t>ucose</w:t>
      </w:r>
      <w:r>
        <w:rPr>
          <w:lang w:bidi="en-US"/>
        </w:rPr>
        <w:t>—n</w:t>
      </w:r>
      <w:r w:rsidRPr="00B25BA2">
        <w:rPr>
          <w:lang w:bidi="en-US"/>
        </w:rPr>
        <w:t>ot more than 3.0%</w:t>
      </w:r>
    </w:p>
    <w:p w14:paraId="35E60B5C" w14:textId="77777777" w:rsidR="00187F02" w:rsidRPr="00B25BA2" w:rsidRDefault="00187F02" w:rsidP="00510B7A">
      <w:pPr>
        <w:pStyle w:val="FSCtPara"/>
        <w:widowControl/>
        <w:numPr>
          <w:ilvl w:val="0"/>
          <w:numId w:val="16"/>
        </w:numPr>
        <w:spacing w:before="120" w:after="120"/>
        <w:ind w:left="2268" w:hanging="566"/>
        <w:rPr>
          <w:lang w:bidi="en-US"/>
        </w:rPr>
      </w:pPr>
      <w:r w:rsidRPr="00B25BA2">
        <w:rPr>
          <w:lang w:bidi="en-US"/>
        </w:rPr>
        <w:t>3-</w:t>
      </w:r>
      <w:r>
        <w:rPr>
          <w:lang w:bidi="en-US"/>
        </w:rPr>
        <w:t>f</w:t>
      </w:r>
      <w:r w:rsidRPr="00B25BA2">
        <w:rPr>
          <w:lang w:bidi="en-US"/>
        </w:rPr>
        <w:t>ucosyllactose</w:t>
      </w:r>
      <w:r>
        <w:rPr>
          <w:lang w:bidi="en-US"/>
        </w:rPr>
        <w:t>—n</w:t>
      </w:r>
      <w:r w:rsidRPr="00B25BA2">
        <w:rPr>
          <w:lang w:bidi="en-US"/>
        </w:rPr>
        <w:t>ot more than 5.0%</w:t>
      </w:r>
    </w:p>
    <w:p w14:paraId="554E98F8"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lastRenderedPageBreak/>
        <w:t>d</w:t>
      </w:r>
      <w:r w:rsidRPr="00B25BA2">
        <w:rPr>
          <w:lang w:bidi="en-US"/>
        </w:rPr>
        <w:t>ifucosyllactose</w:t>
      </w:r>
      <w:r>
        <w:rPr>
          <w:lang w:bidi="en-US"/>
        </w:rPr>
        <w:t>—n</w:t>
      </w:r>
      <w:r w:rsidRPr="00B25BA2">
        <w:rPr>
          <w:lang w:bidi="en-US"/>
        </w:rPr>
        <w:t>ot more than 5.0%</w:t>
      </w:r>
    </w:p>
    <w:p w14:paraId="434F460C"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f</w:t>
      </w:r>
      <w:r w:rsidRPr="00B25BA2">
        <w:rPr>
          <w:lang w:bidi="en-US"/>
        </w:rPr>
        <w:t>ucosyl-</w:t>
      </w:r>
      <w:r>
        <w:rPr>
          <w:lang w:bidi="en-US"/>
        </w:rPr>
        <w:t>g</w:t>
      </w:r>
      <w:r w:rsidRPr="00B25BA2">
        <w:rPr>
          <w:lang w:bidi="en-US"/>
        </w:rPr>
        <w:t>alactose</w:t>
      </w:r>
      <w:r>
        <w:rPr>
          <w:lang w:bidi="en-US"/>
        </w:rPr>
        <w:t>—n</w:t>
      </w:r>
      <w:r w:rsidRPr="00B25BA2">
        <w:rPr>
          <w:lang w:bidi="en-US"/>
        </w:rPr>
        <w:t>ot more than 3.0%</w:t>
      </w:r>
    </w:p>
    <w:p w14:paraId="533F2009"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g</w:t>
      </w:r>
      <w:r w:rsidRPr="00B25BA2">
        <w:rPr>
          <w:lang w:bidi="en-US"/>
        </w:rPr>
        <w:t>lucose</w:t>
      </w:r>
      <w:r>
        <w:rPr>
          <w:lang w:bidi="en-US"/>
        </w:rPr>
        <w:t>—n</w:t>
      </w:r>
      <w:r w:rsidRPr="00B25BA2">
        <w:rPr>
          <w:lang w:bidi="en-US"/>
        </w:rPr>
        <w:t>ot more than 3.0%</w:t>
      </w:r>
    </w:p>
    <w:p w14:paraId="37BCE5C4"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g</w:t>
      </w:r>
      <w:r w:rsidRPr="00B25BA2">
        <w:rPr>
          <w:lang w:bidi="en-US"/>
        </w:rPr>
        <w:t>alactose</w:t>
      </w:r>
      <w:r>
        <w:rPr>
          <w:lang w:bidi="en-US"/>
        </w:rPr>
        <w:t>—n</w:t>
      </w:r>
      <w:r w:rsidRPr="00B25BA2">
        <w:rPr>
          <w:lang w:bidi="en-US"/>
        </w:rPr>
        <w:t>ot more than 3.0%</w:t>
      </w:r>
    </w:p>
    <w:p w14:paraId="64C76AA4"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w</w:t>
      </w:r>
      <w:r w:rsidRPr="00B25BA2">
        <w:rPr>
          <w:lang w:bidi="en-US"/>
        </w:rPr>
        <w:t>ater</w:t>
      </w:r>
      <w:r>
        <w:rPr>
          <w:lang w:bidi="en-US"/>
        </w:rPr>
        <w:t>—n</w:t>
      </w:r>
      <w:r w:rsidRPr="00B25BA2">
        <w:rPr>
          <w:lang w:bidi="en-US"/>
        </w:rPr>
        <w:t xml:space="preserve">ot more than 9.0% </w:t>
      </w:r>
      <w:r>
        <w:rPr>
          <w:lang w:bidi="en-US"/>
        </w:rPr>
        <w:t>for powder, not applicable for liquid</w:t>
      </w:r>
    </w:p>
    <w:p w14:paraId="5152F8A2"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s</w:t>
      </w:r>
      <w:r w:rsidRPr="00B25BA2">
        <w:rPr>
          <w:lang w:bidi="en-US"/>
        </w:rPr>
        <w:t>olids</w:t>
      </w:r>
      <w:r>
        <w:rPr>
          <w:lang w:bidi="en-US"/>
        </w:rPr>
        <w:t>—</w:t>
      </w:r>
      <w:r w:rsidRPr="00B25BA2">
        <w:rPr>
          <w:lang w:bidi="en-US"/>
        </w:rPr>
        <w:t>45% w/v (± 5%) dry matter in water</w:t>
      </w:r>
      <w:r>
        <w:rPr>
          <w:lang w:bidi="en-US"/>
        </w:rPr>
        <w:t>, not applicable for powder</w:t>
      </w:r>
    </w:p>
    <w:p w14:paraId="77193DA2"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a</w:t>
      </w:r>
      <w:r w:rsidRPr="00B25BA2">
        <w:rPr>
          <w:lang w:bidi="en-US"/>
        </w:rPr>
        <w:t>sh, sulphated</w:t>
      </w:r>
      <w:r>
        <w:rPr>
          <w:lang w:bidi="en-US"/>
        </w:rPr>
        <w:t>—n</w:t>
      </w:r>
      <w:r w:rsidRPr="00B25BA2">
        <w:rPr>
          <w:lang w:bidi="en-US"/>
        </w:rPr>
        <w:t>ot more than 0.5%</w:t>
      </w:r>
    </w:p>
    <w:p w14:paraId="1E5E6771"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r</w:t>
      </w:r>
      <w:r w:rsidRPr="00B25BA2">
        <w:rPr>
          <w:lang w:bidi="en-US"/>
        </w:rPr>
        <w:t>esidual proteins</w:t>
      </w:r>
      <w:r>
        <w:rPr>
          <w:lang w:bidi="en-US"/>
        </w:rPr>
        <w:t>—n</w:t>
      </w:r>
      <w:r w:rsidRPr="00B25BA2">
        <w:rPr>
          <w:lang w:bidi="en-US"/>
        </w:rPr>
        <w:t>ot more than 0.01%</w:t>
      </w:r>
    </w:p>
    <w:p w14:paraId="26B309A2"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l</w:t>
      </w:r>
      <w:r w:rsidRPr="00B25BA2">
        <w:rPr>
          <w:lang w:bidi="en-US"/>
        </w:rPr>
        <w:t>ead</w:t>
      </w:r>
      <w:r>
        <w:rPr>
          <w:lang w:bidi="en-US"/>
        </w:rPr>
        <w:t>—n</w:t>
      </w:r>
      <w:r w:rsidRPr="00B25BA2">
        <w:rPr>
          <w:lang w:bidi="en-US"/>
        </w:rPr>
        <w:t>ot more than 0.02 mg/kg</w:t>
      </w:r>
    </w:p>
    <w:p w14:paraId="3D854C71"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a</w:t>
      </w:r>
      <w:r w:rsidRPr="00B25BA2">
        <w:rPr>
          <w:lang w:bidi="en-US"/>
        </w:rPr>
        <w:t>rsenic</w:t>
      </w:r>
      <w:r>
        <w:rPr>
          <w:lang w:bidi="en-US"/>
        </w:rPr>
        <w:t>—n</w:t>
      </w:r>
      <w:r w:rsidRPr="00B25BA2">
        <w:rPr>
          <w:lang w:bidi="en-US"/>
        </w:rPr>
        <w:t>ot more than 0.2 mg/kg</w:t>
      </w:r>
    </w:p>
    <w:p w14:paraId="3DD2548E"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c</w:t>
      </w:r>
      <w:r w:rsidRPr="00B25BA2">
        <w:rPr>
          <w:lang w:bidi="en-US"/>
        </w:rPr>
        <w:t>admium</w:t>
      </w:r>
      <w:r>
        <w:rPr>
          <w:lang w:bidi="en-US"/>
        </w:rPr>
        <w:t>—n</w:t>
      </w:r>
      <w:r w:rsidRPr="00B25BA2">
        <w:rPr>
          <w:lang w:bidi="en-US"/>
        </w:rPr>
        <w:t>ot more than 0.1 mg/kg</w:t>
      </w:r>
    </w:p>
    <w:p w14:paraId="4902ACB1"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m</w:t>
      </w:r>
      <w:r w:rsidRPr="00B25BA2">
        <w:rPr>
          <w:lang w:bidi="en-US"/>
        </w:rPr>
        <w:t>ercury</w:t>
      </w:r>
      <w:r>
        <w:rPr>
          <w:lang w:bidi="en-US"/>
        </w:rPr>
        <w:t>—n</w:t>
      </w:r>
      <w:r w:rsidRPr="00B25BA2">
        <w:rPr>
          <w:lang w:bidi="en-US"/>
        </w:rPr>
        <w:t>ot more than 0.5 mg/kg</w:t>
      </w:r>
    </w:p>
    <w:p w14:paraId="06A7EBBB" w14:textId="77777777" w:rsidR="00187F02" w:rsidRPr="00B25BA2" w:rsidRDefault="00187F02" w:rsidP="00510B7A">
      <w:pPr>
        <w:pStyle w:val="FSCtPara"/>
        <w:widowControl/>
        <w:numPr>
          <w:ilvl w:val="0"/>
          <w:numId w:val="16"/>
        </w:numPr>
        <w:spacing w:before="120" w:after="120"/>
        <w:ind w:left="2268" w:hanging="566"/>
        <w:rPr>
          <w:lang w:bidi="en-US"/>
        </w:rPr>
      </w:pPr>
      <w:r>
        <w:rPr>
          <w:lang w:bidi="en-US"/>
        </w:rPr>
        <w:t>m</w:t>
      </w:r>
      <w:r w:rsidRPr="00B25BA2">
        <w:rPr>
          <w:lang w:bidi="en-US"/>
        </w:rPr>
        <w:t>icrobiological:</w:t>
      </w:r>
    </w:p>
    <w:p w14:paraId="730B07D9" w14:textId="77777777" w:rsidR="00187F02" w:rsidRPr="00B25BA2" w:rsidRDefault="00187F02" w:rsidP="00510B7A">
      <w:pPr>
        <w:pStyle w:val="FSCtSubpara"/>
        <w:widowControl/>
        <w:numPr>
          <w:ilvl w:val="0"/>
          <w:numId w:val="17"/>
        </w:numPr>
        <w:tabs>
          <w:tab w:val="clear" w:pos="2268"/>
          <w:tab w:val="left" w:pos="2835"/>
        </w:tabs>
        <w:spacing w:before="120" w:after="120"/>
        <w:ind w:left="2268" w:firstLine="0"/>
        <w:rPr>
          <w:lang w:bidi="en-US"/>
        </w:rPr>
      </w:pPr>
      <w:r>
        <w:rPr>
          <w:i/>
          <w:lang w:bidi="en-US"/>
        </w:rPr>
        <w:t>s</w:t>
      </w:r>
      <w:r w:rsidRPr="005D7118">
        <w:rPr>
          <w:i/>
          <w:lang w:bidi="en-US"/>
        </w:rPr>
        <w:t>almonella</w:t>
      </w:r>
      <w:r>
        <w:rPr>
          <w:lang w:bidi="en-US"/>
        </w:rPr>
        <w:t>—a</w:t>
      </w:r>
      <w:r w:rsidRPr="00B25BA2">
        <w:rPr>
          <w:lang w:bidi="en-US"/>
        </w:rPr>
        <w:t xml:space="preserve">bsent in 100 g </w:t>
      </w:r>
      <w:r>
        <w:rPr>
          <w:lang w:bidi="en-US"/>
        </w:rPr>
        <w:t xml:space="preserve">for </w:t>
      </w:r>
      <w:r w:rsidRPr="00B25BA2">
        <w:rPr>
          <w:lang w:bidi="en-US"/>
        </w:rPr>
        <w:t xml:space="preserve">powder, absent in 200 mL </w:t>
      </w:r>
      <w:r>
        <w:rPr>
          <w:lang w:bidi="en-US"/>
        </w:rPr>
        <w:t xml:space="preserve">for </w:t>
      </w:r>
      <w:r w:rsidRPr="00B25BA2">
        <w:rPr>
          <w:lang w:bidi="en-US"/>
        </w:rPr>
        <w:t>liquid</w:t>
      </w:r>
    </w:p>
    <w:p w14:paraId="09390267" w14:textId="77777777" w:rsidR="00187F02" w:rsidRPr="00B25BA2" w:rsidRDefault="00187F02" w:rsidP="00510B7A">
      <w:pPr>
        <w:pStyle w:val="FSCtSubpara"/>
        <w:widowControl/>
        <w:numPr>
          <w:ilvl w:val="0"/>
          <w:numId w:val="17"/>
        </w:numPr>
        <w:tabs>
          <w:tab w:val="clear" w:pos="2268"/>
          <w:tab w:val="left" w:pos="2835"/>
        </w:tabs>
        <w:spacing w:before="120" w:after="120"/>
        <w:ind w:left="2835" w:hanging="567"/>
        <w:rPr>
          <w:lang w:bidi="en-US"/>
        </w:rPr>
      </w:pPr>
      <w:r>
        <w:rPr>
          <w:lang w:bidi="en-US"/>
        </w:rPr>
        <w:t>t</w:t>
      </w:r>
      <w:r w:rsidRPr="00B25BA2">
        <w:rPr>
          <w:lang w:bidi="en-US"/>
        </w:rPr>
        <w:t>otal plate count</w:t>
      </w:r>
      <w:r>
        <w:rPr>
          <w:lang w:bidi="en-US"/>
        </w:rPr>
        <w:t>—n</w:t>
      </w:r>
      <w:r w:rsidRPr="00B25BA2">
        <w:rPr>
          <w:lang w:bidi="en-US"/>
        </w:rPr>
        <w:t>ot more than 10000 cfu/g</w:t>
      </w:r>
      <w:r w:rsidRPr="00777343">
        <w:rPr>
          <w:lang w:bidi="en-US"/>
        </w:rPr>
        <w:t xml:space="preserve"> </w:t>
      </w:r>
      <w:r>
        <w:rPr>
          <w:lang w:bidi="en-US"/>
        </w:rPr>
        <w:t xml:space="preserve">for </w:t>
      </w:r>
      <w:r w:rsidRPr="00B25BA2">
        <w:rPr>
          <w:lang w:bidi="en-US"/>
        </w:rPr>
        <w:t xml:space="preserve">powder, not more than 5000 cfu/g </w:t>
      </w:r>
      <w:r>
        <w:rPr>
          <w:lang w:bidi="en-US"/>
        </w:rPr>
        <w:t xml:space="preserve">for </w:t>
      </w:r>
      <w:r w:rsidRPr="00B25BA2">
        <w:rPr>
          <w:lang w:bidi="en-US"/>
        </w:rPr>
        <w:t xml:space="preserve">liquid  </w:t>
      </w:r>
    </w:p>
    <w:p w14:paraId="6B1DD28D" w14:textId="77777777" w:rsidR="00187F02" w:rsidRPr="00B25BA2" w:rsidRDefault="00187F02" w:rsidP="00510B7A">
      <w:pPr>
        <w:pStyle w:val="FSCtSubpara"/>
        <w:widowControl/>
        <w:numPr>
          <w:ilvl w:val="0"/>
          <w:numId w:val="17"/>
        </w:numPr>
        <w:tabs>
          <w:tab w:val="clear" w:pos="2268"/>
          <w:tab w:val="left" w:pos="2835"/>
        </w:tabs>
        <w:spacing w:before="120" w:after="120"/>
        <w:ind w:left="2835" w:hanging="567"/>
        <w:rPr>
          <w:lang w:bidi="en-US"/>
        </w:rPr>
      </w:pPr>
      <w:r>
        <w:rPr>
          <w:lang w:bidi="en-US"/>
        </w:rPr>
        <w:t>c</w:t>
      </w:r>
      <w:r w:rsidRPr="00B25BA2">
        <w:rPr>
          <w:lang w:bidi="en-US"/>
        </w:rPr>
        <w:t>oliform/enterobacteriaceae</w:t>
      </w:r>
      <w:r>
        <w:rPr>
          <w:lang w:bidi="en-US"/>
        </w:rPr>
        <w:t>—a</w:t>
      </w:r>
      <w:r w:rsidRPr="00B25BA2">
        <w:rPr>
          <w:lang w:bidi="en-US"/>
        </w:rPr>
        <w:t xml:space="preserve">bsent in 11 g </w:t>
      </w:r>
      <w:r>
        <w:rPr>
          <w:lang w:bidi="en-US"/>
        </w:rPr>
        <w:t xml:space="preserve">for </w:t>
      </w:r>
      <w:r w:rsidRPr="00B25BA2">
        <w:rPr>
          <w:lang w:bidi="en-US"/>
        </w:rPr>
        <w:t xml:space="preserve">powder, absent in 22 mL </w:t>
      </w:r>
      <w:r>
        <w:rPr>
          <w:lang w:bidi="en-US"/>
        </w:rPr>
        <w:t xml:space="preserve">for </w:t>
      </w:r>
      <w:r w:rsidRPr="00B25BA2">
        <w:rPr>
          <w:lang w:bidi="en-US"/>
        </w:rPr>
        <w:t>liquid</w:t>
      </w:r>
    </w:p>
    <w:p w14:paraId="722360B5" w14:textId="77777777" w:rsidR="00187F02" w:rsidRPr="00B25BA2" w:rsidRDefault="00187F02" w:rsidP="00510B7A">
      <w:pPr>
        <w:pStyle w:val="FSCtSubpara"/>
        <w:widowControl/>
        <w:numPr>
          <w:ilvl w:val="0"/>
          <w:numId w:val="17"/>
        </w:numPr>
        <w:tabs>
          <w:tab w:val="clear" w:pos="2268"/>
          <w:tab w:val="left" w:pos="2835"/>
        </w:tabs>
        <w:spacing w:before="120" w:after="120"/>
        <w:ind w:left="2835" w:hanging="567"/>
        <w:rPr>
          <w:lang w:bidi="en-US"/>
        </w:rPr>
      </w:pPr>
      <w:r w:rsidRPr="005D7118">
        <w:rPr>
          <w:i/>
          <w:lang w:bidi="en-US"/>
        </w:rPr>
        <w:t>cronobacter sakazakii</w:t>
      </w:r>
      <w:r>
        <w:rPr>
          <w:lang w:bidi="en-US"/>
        </w:rPr>
        <w:t>—a</w:t>
      </w:r>
      <w:r w:rsidRPr="00B25BA2">
        <w:rPr>
          <w:lang w:bidi="en-US"/>
        </w:rPr>
        <w:t xml:space="preserve">bsent in 100 g </w:t>
      </w:r>
      <w:r>
        <w:rPr>
          <w:lang w:bidi="en-US"/>
        </w:rPr>
        <w:t xml:space="preserve">for </w:t>
      </w:r>
      <w:r w:rsidRPr="00B25BA2">
        <w:rPr>
          <w:lang w:bidi="en-US"/>
        </w:rPr>
        <w:t xml:space="preserve">powder, absent in 200 mL </w:t>
      </w:r>
      <w:r>
        <w:rPr>
          <w:lang w:bidi="en-US"/>
        </w:rPr>
        <w:t xml:space="preserve">for </w:t>
      </w:r>
      <w:r w:rsidRPr="00B25BA2">
        <w:rPr>
          <w:lang w:bidi="en-US"/>
        </w:rPr>
        <w:t>liquid</w:t>
      </w:r>
    </w:p>
    <w:p w14:paraId="5241F8C3" w14:textId="77777777" w:rsidR="00187F02" w:rsidRPr="00B25BA2" w:rsidRDefault="00187F02" w:rsidP="00510B7A">
      <w:pPr>
        <w:pStyle w:val="FSCtSubpara"/>
        <w:widowControl/>
        <w:numPr>
          <w:ilvl w:val="0"/>
          <w:numId w:val="17"/>
        </w:numPr>
        <w:tabs>
          <w:tab w:val="clear" w:pos="2268"/>
          <w:tab w:val="left" w:pos="2835"/>
        </w:tabs>
        <w:spacing w:before="120" w:after="120"/>
        <w:ind w:left="2835" w:hanging="567"/>
        <w:rPr>
          <w:lang w:bidi="en-US"/>
        </w:rPr>
      </w:pPr>
      <w:r>
        <w:rPr>
          <w:lang w:bidi="en-US"/>
        </w:rPr>
        <w:t>y</w:t>
      </w:r>
      <w:r w:rsidRPr="00B25BA2">
        <w:rPr>
          <w:lang w:bidi="en-US"/>
        </w:rPr>
        <w:t>east and mould</w:t>
      </w:r>
      <w:r>
        <w:rPr>
          <w:lang w:bidi="en-US"/>
        </w:rPr>
        <w:t>—n</w:t>
      </w:r>
      <w:r w:rsidRPr="00B25BA2">
        <w:rPr>
          <w:lang w:bidi="en-US"/>
        </w:rPr>
        <w:t>ot more than 100 cfu/g</w:t>
      </w:r>
      <w:r w:rsidRPr="00777343">
        <w:rPr>
          <w:lang w:bidi="en-US"/>
        </w:rPr>
        <w:t xml:space="preserve"> </w:t>
      </w:r>
      <w:r>
        <w:rPr>
          <w:lang w:bidi="en-US"/>
        </w:rPr>
        <w:t xml:space="preserve">for </w:t>
      </w:r>
      <w:r w:rsidRPr="00B25BA2">
        <w:rPr>
          <w:lang w:bidi="en-US"/>
        </w:rPr>
        <w:t xml:space="preserve">powder, not more than 50 cfu/g </w:t>
      </w:r>
      <w:r>
        <w:rPr>
          <w:lang w:bidi="en-US"/>
        </w:rPr>
        <w:t xml:space="preserve">for </w:t>
      </w:r>
      <w:r w:rsidRPr="00B25BA2">
        <w:rPr>
          <w:lang w:bidi="en-US"/>
        </w:rPr>
        <w:t>liquid</w:t>
      </w:r>
    </w:p>
    <w:p w14:paraId="47F1382A" w14:textId="77777777" w:rsidR="00187F02" w:rsidRPr="00B25BA2" w:rsidRDefault="00187F02" w:rsidP="00510B7A">
      <w:pPr>
        <w:pStyle w:val="FSCtSubpara"/>
        <w:widowControl/>
        <w:numPr>
          <w:ilvl w:val="0"/>
          <w:numId w:val="17"/>
        </w:numPr>
        <w:tabs>
          <w:tab w:val="clear" w:pos="2268"/>
          <w:tab w:val="left" w:pos="2835"/>
        </w:tabs>
        <w:spacing w:before="120" w:after="120"/>
        <w:ind w:left="2268" w:firstLine="0"/>
        <w:rPr>
          <w:lang w:bidi="en-US"/>
        </w:rPr>
      </w:pPr>
      <w:r>
        <w:rPr>
          <w:lang w:bidi="en-US"/>
        </w:rPr>
        <w:t>a</w:t>
      </w:r>
      <w:r w:rsidRPr="00B25BA2">
        <w:rPr>
          <w:lang w:bidi="en-US"/>
        </w:rPr>
        <w:t>flatoxin M1</w:t>
      </w:r>
      <w:r>
        <w:rPr>
          <w:lang w:bidi="en-US"/>
        </w:rPr>
        <w:t>—n</w:t>
      </w:r>
      <w:r w:rsidRPr="00B25BA2">
        <w:rPr>
          <w:lang w:bidi="en-US"/>
        </w:rPr>
        <w:t xml:space="preserve">ot more than 0.025 μg/kg </w:t>
      </w:r>
    </w:p>
    <w:p w14:paraId="0C048F9C" w14:textId="77777777" w:rsidR="00187F02" w:rsidRPr="00B25BA2" w:rsidRDefault="00187F02" w:rsidP="00510B7A">
      <w:pPr>
        <w:pStyle w:val="FSCtSubpara"/>
        <w:widowControl/>
        <w:numPr>
          <w:ilvl w:val="0"/>
          <w:numId w:val="17"/>
        </w:numPr>
        <w:tabs>
          <w:tab w:val="left" w:pos="2835"/>
        </w:tabs>
        <w:spacing w:before="120" w:after="120"/>
        <w:ind w:left="2268" w:firstLine="0"/>
        <w:rPr>
          <w:lang w:bidi="en-US"/>
        </w:rPr>
      </w:pPr>
      <w:r>
        <w:rPr>
          <w:lang w:bidi="en-US"/>
        </w:rPr>
        <w:t>e</w:t>
      </w:r>
      <w:r w:rsidRPr="00B25BA2">
        <w:rPr>
          <w:lang w:bidi="en-US"/>
        </w:rPr>
        <w:t>ndotoxins</w:t>
      </w:r>
      <w:r>
        <w:rPr>
          <w:lang w:bidi="en-US"/>
        </w:rPr>
        <w:t>—n</w:t>
      </w:r>
      <w:r w:rsidRPr="00B25BA2">
        <w:rPr>
          <w:lang w:bidi="en-US"/>
        </w:rPr>
        <w:t xml:space="preserve">ot more than </w:t>
      </w:r>
      <w:r>
        <w:rPr>
          <w:lang w:bidi="en-US"/>
        </w:rPr>
        <w:t>10</w:t>
      </w:r>
      <w:r w:rsidRPr="00B25BA2">
        <w:rPr>
          <w:lang w:bidi="en-US"/>
        </w:rPr>
        <w:t xml:space="preserve"> EU/</w:t>
      </w:r>
      <w:r>
        <w:rPr>
          <w:lang w:bidi="en-US"/>
        </w:rPr>
        <w:t>m</w:t>
      </w:r>
      <w:r w:rsidRPr="00B25BA2">
        <w:rPr>
          <w:lang w:bidi="en-US"/>
        </w:rPr>
        <w:t>g</w:t>
      </w:r>
    </w:p>
    <w:p w14:paraId="2605F9D0" w14:textId="77777777" w:rsidR="00187F02" w:rsidRPr="00B25BA2" w:rsidRDefault="00187F02" w:rsidP="00510B7A">
      <w:pPr>
        <w:pStyle w:val="FSCtSubpara"/>
        <w:widowControl/>
        <w:numPr>
          <w:ilvl w:val="0"/>
          <w:numId w:val="17"/>
        </w:numPr>
        <w:tabs>
          <w:tab w:val="left" w:pos="2835"/>
        </w:tabs>
        <w:spacing w:before="120" w:after="120"/>
        <w:ind w:left="2268" w:firstLine="0"/>
        <w:rPr>
          <w:lang w:bidi="en-US"/>
        </w:rPr>
      </w:pPr>
      <w:r w:rsidRPr="00B25BA2">
        <w:rPr>
          <w:lang w:bidi="en-US"/>
        </w:rPr>
        <w:t>GMO detection</w:t>
      </w:r>
      <w:r>
        <w:rPr>
          <w:lang w:bidi="en-US"/>
        </w:rPr>
        <w:t>—</w:t>
      </w:r>
      <w:r w:rsidRPr="00B25BA2">
        <w:rPr>
          <w:lang w:bidi="en-US"/>
        </w:rPr>
        <w:t>not detected</w:t>
      </w:r>
      <w:r>
        <w:rPr>
          <w:lang w:bidi="en-US"/>
        </w:rPr>
        <w:t>.</w:t>
      </w:r>
    </w:p>
    <w:p w14:paraId="4E4D657F" w14:textId="77777777" w:rsidR="00187F02" w:rsidRDefault="00187F02" w:rsidP="00510B7A">
      <w:pPr>
        <w:pStyle w:val="FSCDraftingitem"/>
        <w:rPr>
          <w:lang w:bidi="en-US"/>
        </w:rPr>
      </w:pPr>
      <w:r w:rsidRPr="00573CA7">
        <w:rPr>
          <w:b/>
          <w:lang w:bidi="en-US"/>
        </w:rPr>
        <w:t>[</w:t>
      </w:r>
      <w:r>
        <w:rPr>
          <w:b/>
          <w:lang w:bidi="en-US"/>
        </w:rPr>
        <w:t>3</w:t>
      </w:r>
      <w:r w:rsidRPr="00573CA7">
        <w:rPr>
          <w:b/>
          <w:lang w:bidi="en-US"/>
        </w:rPr>
        <w:t>]</w:t>
      </w:r>
      <w:r w:rsidRPr="00573CA7">
        <w:rPr>
          <w:b/>
          <w:lang w:bidi="en-US"/>
        </w:rPr>
        <w:tab/>
        <w:t>Schedule 26</w:t>
      </w:r>
      <w:r>
        <w:rPr>
          <w:lang w:bidi="en-US"/>
        </w:rPr>
        <w:t xml:space="preserve"> is </w:t>
      </w:r>
      <w:r w:rsidRPr="00573CA7">
        <w:t>varied</w:t>
      </w:r>
      <w:r>
        <w:rPr>
          <w:lang w:bidi="en-US"/>
        </w:rPr>
        <w:t xml:space="preserve"> by </w:t>
      </w:r>
    </w:p>
    <w:p w14:paraId="0A3B972D" w14:textId="77777777" w:rsidR="00187F02" w:rsidRDefault="00187F02" w:rsidP="00510B7A">
      <w:pPr>
        <w:pStyle w:val="FSCDraftingitem"/>
      </w:pPr>
      <w:r>
        <w:rPr>
          <w:lang w:bidi="en-US"/>
        </w:rPr>
        <w:t>[3.1]</w:t>
      </w:r>
      <w:r>
        <w:rPr>
          <w:lang w:bidi="en-US"/>
        </w:rPr>
        <w:tab/>
        <w:t>omitting item 1 in the table to subsection S</w:t>
      </w:r>
      <w:r>
        <w:t>26—3</w:t>
      </w:r>
      <w:r>
        <w:rPr>
          <w:lang w:bidi="en-US"/>
        </w:rPr>
        <w:t xml:space="preserve">(7), </w:t>
      </w:r>
      <w:r w:rsidRPr="005C7DDE">
        <w:rPr>
          <w:lang w:bidi="en-US"/>
        </w:rPr>
        <w:t>substituting</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187F02" w14:paraId="54C16854" w14:textId="77777777" w:rsidTr="00187F02">
        <w:trPr>
          <w:cantSplit/>
          <w:trHeight w:val="329"/>
        </w:trPr>
        <w:tc>
          <w:tcPr>
            <w:tcW w:w="284" w:type="dxa"/>
            <w:tcBorders>
              <w:top w:val="nil"/>
              <w:left w:val="nil"/>
              <w:right w:val="nil"/>
            </w:tcBorders>
            <w:tcMar>
              <w:top w:w="0" w:type="dxa"/>
              <w:left w:w="108" w:type="dxa"/>
              <w:bottom w:w="0" w:type="dxa"/>
              <w:right w:w="108" w:type="dxa"/>
            </w:tcMar>
            <w:hideMark/>
          </w:tcPr>
          <w:p w14:paraId="2B234B40" w14:textId="77777777" w:rsidR="00187F02" w:rsidRDefault="00187F02" w:rsidP="00510B7A">
            <w:pPr>
              <w:widowControl/>
              <w:spacing w:before="120" w:after="120"/>
              <w:rPr>
                <w:rFonts w:cs="Arial"/>
                <w:sz w:val="18"/>
                <w:szCs w:val="18"/>
                <w:lang w:eastAsia="en-GB"/>
              </w:rPr>
            </w:pPr>
            <w:r>
              <w:rPr>
                <w:rFonts w:cs="Arial"/>
                <w:b/>
                <w:bCs/>
                <w:sz w:val="18"/>
                <w:szCs w:val="18"/>
                <w:lang w:eastAsia="en-GB"/>
              </w:rPr>
              <w:t>1</w:t>
            </w:r>
          </w:p>
        </w:tc>
        <w:tc>
          <w:tcPr>
            <w:tcW w:w="2126" w:type="dxa"/>
            <w:tcBorders>
              <w:top w:val="nil"/>
              <w:left w:val="nil"/>
              <w:right w:val="nil"/>
            </w:tcBorders>
            <w:tcMar>
              <w:top w:w="0" w:type="dxa"/>
              <w:left w:w="108" w:type="dxa"/>
              <w:bottom w:w="0" w:type="dxa"/>
              <w:right w:w="108" w:type="dxa"/>
            </w:tcMar>
            <w:hideMark/>
          </w:tcPr>
          <w:p w14:paraId="040AAF0B" w14:textId="77777777" w:rsidR="00187F02" w:rsidRDefault="00187F02" w:rsidP="00510B7A">
            <w:pPr>
              <w:widowControl/>
              <w:spacing w:before="120" w:after="120"/>
              <w:rPr>
                <w:rFonts w:cs="Arial"/>
                <w:sz w:val="18"/>
                <w:szCs w:val="18"/>
                <w:lang w:eastAsia="en-GB"/>
              </w:rPr>
            </w:pPr>
            <w:r>
              <w:rPr>
                <w:rFonts w:cs="Arial"/>
                <w:b/>
                <w:bCs/>
                <w:sz w:val="18"/>
                <w:szCs w:val="18"/>
                <w:lang w:eastAsia="en-GB"/>
              </w:rPr>
              <w:t>2′-fucosyllactose</w:t>
            </w:r>
          </w:p>
        </w:tc>
        <w:tc>
          <w:tcPr>
            <w:tcW w:w="2693" w:type="dxa"/>
            <w:tcBorders>
              <w:top w:val="nil"/>
              <w:left w:val="nil"/>
              <w:right w:val="nil"/>
            </w:tcBorders>
            <w:hideMark/>
          </w:tcPr>
          <w:p w14:paraId="28E9F5D7" w14:textId="77777777" w:rsidR="00187F02" w:rsidRDefault="00187F02" w:rsidP="00C360E1">
            <w:pPr>
              <w:pStyle w:val="ListParagraph"/>
              <w:widowControl/>
              <w:numPr>
                <w:ilvl w:val="0"/>
                <w:numId w:val="41"/>
              </w:numPr>
              <w:spacing w:before="120" w:after="120"/>
              <w:ind w:left="429" w:right="36" w:hanging="283"/>
              <w:contextualSpacing w:val="0"/>
              <w:rPr>
                <w:rFonts w:cs="Arial"/>
                <w:sz w:val="18"/>
                <w:szCs w:val="18"/>
                <w:lang w:eastAsia="en-GB"/>
              </w:rPr>
            </w:pPr>
            <w:r>
              <w:rPr>
                <w:rFonts w:cs="Arial"/>
                <w:i/>
                <w:sz w:val="18"/>
                <w:szCs w:val="18"/>
                <w:lang w:eastAsia="en-GB"/>
              </w:rPr>
              <w:t>Escherichia coli</w:t>
            </w:r>
            <w:r>
              <w:rPr>
                <w:rFonts w:cs="Arial"/>
                <w:sz w:val="18"/>
                <w:szCs w:val="18"/>
                <w:lang w:eastAsia="en-GB"/>
              </w:rPr>
              <w:t xml:space="preserve"> K-12 containing the gene for alpha-1,2-fucosyltransferase from </w:t>
            </w:r>
            <w:r>
              <w:rPr>
                <w:rFonts w:cs="Arial"/>
                <w:i/>
                <w:sz w:val="18"/>
                <w:szCs w:val="18"/>
                <w:lang w:eastAsia="en-GB"/>
              </w:rPr>
              <w:t>Helicobacter pylori</w:t>
            </w:r>
          </w:p>
        </w:tc>
        <w:tc>
          <w:tcPr>
            <w:tcW w:w="993" w:type="dxa"/>
            <w:tcBorders>
              <w:top w:val="nil"/>
              <w:left w:val="nil"/>
              <w:right w:val="nil"/>
            </w:tcBorders>
            <w:tcMar>
              <w:top w:w="0" w:type="dxa"/>
              <w:left w:w="108" w:type="dxa"/>
              <w:bottom w:w="0" w:type="dxa"/>
              <w:right w:w="108" w:type="dxa"/>
            </w:tcMar>
            <w:hideMark/>
          </w:tcPr>
          <w:p w14:paraId="3288FF77" w14:textId="77777777" w:rsidR="00187F02" w:rsidRDefault="00187F02" w:rsidP="00510B7A">
            <w:pPr>
              <w:widowControl/>
              <w:spacing w:before="120" w:after="120"/>
              <w:rPr>
                <w:rFonts w:cs="Arial"/>
                <w:sz w:val="18"/>
                <w:szCs w:val="18"/>
                <w:lang w:eastAsia="en-GB"/>
              </w:rPr>
            </w:pPr>
          </w:p>
        </w:tc>
        <w:tc>
          <w:tcPr>
            <w:tcW w:w="3260" w:type="dxa"/>
            <w:tcBorders>
              <w:top w:val="nil"/>
              <w:left w:val="nil"/>
              <w:right w:val="nil"/>
            </w:tcBorders>
            <w:hideMark/>
          </w:tcPr>
          <w:p w14:paraId="4CBD4136" w14:textId="77777777" w:rsidR="00187F02" w:rsidRDefault="00187F02" w:rsidP="00C64722">
            <w:pPr>
              <w:pStyle w:val="ListParagraph"/>
              <w:widowControl/>
              <w:numPr>
                <w:ilvl w:val="0"/>
                <w:numId w:val="39"/>
              </w:numPr>
              <w:spacing w:before="120" w:after="120"/>
              <w:ind w:left="282" w:right="34" w:hanging="283"/>
              <w:contextualSpacing w:val="0"/>
              <w:rPr>
                <w:rFonts w:cs="Arial"/>
                <w:sz w:val="18"/>
                <w:szCs w:val="18"/>
                <w:lang w:eastAsia="en-GB"/>
              </w:rPr>
            </w:pPr>
            <w:r>
              <w:rPr>
                <w:rFonts w:cs="Arial"/>
                <w:sz w:val="18"/>
                <w:szCs w:val="18"/>
                <w:lang w:eastAsia="en-AU"/>
              </w:rPr>
              <w:t>May only be added to infant formula products</w:t>
            </w:r>
            <w:r>
              <w:rPr>
                <w:sz w:val="18"/>
                <w:szCs w:val="18"/>
              </w:rPr>
              <w:t>.</w:t>
            </w:r>
          </w:p>
          <w:p w14:paraId="137B8B50" w14:textId="77777777" w:rsidR="00187F02" w:rsidRDefault="00187F02" w:rsidP="00C64722">
            <w:pPr>
              <w:pStyle w:val="ListParagraph"/>
              <w:widowControl/>
              <w:numPr>
                <w:ilvl w:val="0"/>
                <w:numId w:val="39"/>
              </w:numPr>
              <w:spacing w:before="120" w:after="120"/>
              <w:ind w:left="305" w:right="36" w:hanging="283"/>
              <w:contextualSpacing w:val="0"/>
              <w:rPr>
                <w:rFonts w:cs="Arial"/>
                <w:sz w:val="18"/>
                <w:szCs w:val="18"/>
                <w:lang w:eastAsia="en-GB"/>
              </w:rPr>
            </w:pPr>
            <w:r>
              <w:rPr>
                <w:rFonts w:cs="Arial"/>
                <w:sz w:val="18"/>
                <w:szCs w:val="18"/>
                <w:lang w:eastAsia="en-GB"/>
              </w:rPr>
              <w:t xml:space="preserve">During the </w:t>
            </w:r>
            <w:r>
              <w:rPr>
                <w:sz w:val="18"/>
                <w:szCs w:val="18"/>
              </w:rPr>
              <w:t xml:space="preserve">exclusive use period, may only be sold under </w:t>
            </w:r>
            <w:r>
              <w:rPr>
                <w:rFonts w:cs="Arial"/>
                <w:sz w:val="18"/>
                <w:szCs w:val="18"/>
                <w:lang w:eastAsia="en-AU"/>
              </w:rPr>
              <w:t>the brand GlyCare.</w:t>
            </w:r>
          </w:p>
          <w:p w14:paraId="059C359C" w14:textId="77777777" w:rsidR="00187F02" w:rsidRDefault="00187F02" w:rsidP="00C64722">
            <w:pPr>
              <w:pStyle w:val="ListParagraph"/>
              <w:widowControl/>
              <w:numPr>
                <w:ilvl w:val="0"/>
                <w:numId w:val="39"/>
              </w:numPr>
              <w:spacing w:before="120" w:after="120"/>
              <w:ind w:left="305" w:right="36" w:hanging="283"/>
              <w:contextualSpacing w:val="0"/>
              <w:rPr>
                <w:rFonts w:cs="Arial"/>
                <w:sz w:val="18"/>
                <w:szCs w:val="18"/>
                <w:lang w:eastAsia="en-GB"/>
              </w:rPr>
            </w:pPr>
            <w:r>
              <w:rPr>
                <w:sz w:val="18"/>
                <w:szCs w:val="18"/>
              </w:rPr>
              <w:t xml:space="preserve">For the purposes of condition 2 above, </w:t>
            </w:r>
            <w:r>
              <w:rPr>
                <w:b/>
                <w:sz w:val="18"/>
                <w:szCs w:val="18"/>
              </w:rPr>
              <w:t>exclusive use period</w:t>
            </w:r>
            <w:r>
              <w:rPr>
                <w:sz w:val="18"/>
                <w:szCs w:val="18"/>
              </w:rPr>
              <w:t xml:space="preserve"> means the period commencing on the date of gazettal of the </w:t>
            </w:r>
            <w:r>
              <w:rPr>
                <w:i/>
                <w:sz w:val="18"/>
                <w:szCs w:val="18"/>
              </w:rPr>
              <w:t>Food Standards (Application A1155 – 2</w:t>
            </w:r>
            <w:r>
              <w:rPr>
                <w:rFonts w:cs="Arial"/>
                <w:i/>
                <w:sz w:val="18"/>
                <w:szCs w:val="18"/>
              </w:rPr>
              <w:t>′</w:t>
            </w:r>
            <w:r>
              <w:rPr>
                <w:i/>
                <w:sz w:val="18"/>
                <w:szCs w:val="18"/>
              </w:rPr>
              <w:t>-FL and LNnT in infant formula and other products) Variation</w:t>
            </w:r>
            <w:r>
              <w:rPr>
                <w:sz w:val="18"/>
                <w:szCs w:val="18"/>
              </w:rPr>
              <w:t xml:space="preserve"> and ending 15 months after that date.</w:t>
            </w:r>
          </w:p>
        </w:tc>
      </w:tr>
      <w:tr w:rsidR="00187F02" w:rsidRPr="0034428B" w14:paraId="6C952D91" w14:textId="77777777" w:rsidTr="00187F02">
        <w:trPr>
          <w:cantSplit/>
          <w:trHeight w:val="329"/>
        </w:trPr>
        <w:tc>
          <w:tcPr>
            <w:tcW w:w="284" w:type="dxa"/>
            <w:tcBorders>
              <w:top w:val="nil"/>
              <w:left w:val="nil"/>
              <w:right w:val="nil"/>
            </w:tcBorders>
            <w:tcMar>
              <w:top w:w="0" w:type="dxa"/>
              <w:left w:w="108" w:type="dxa"/>
              <w:bottom w:w="0" w:type="dxa"/>
              <w:right w:w="108" w:type="dxa"/>
            </w:tcMar>
          </w:tcPr>
          <w:p w14:paraId="1ACC435F" w14:textId="77777777" w:rsidR="00187F02" w:rsidRPr="0034428B" w:rsidRDefault="00187F02" w:rsidP="00510B7A">
            <w:pPr>
              <w:widowControl/>
              <w:spacing w:before="120" w:after="120"/>
              <w:rPr>
                <w:rFonts w:cs="Arial"/>
                <w:b/>
                <w:bCs/>
                <w:sz w:val="18"/>
                <w:szCs w:val="18"/>
                <w:lang w:eastAsia="en-GB"/>
              </w:rPr>
            </w:pPr>
          </w:p>
        </w:tc>
        <w:tc>
          <w:tcPr>
            <w:tcW w:w="2126" w:type="dxa"/>
            <w:tcBorders>
              <w:top w:val="nil"/>
              <w:left w:val="nil"/>
              <w:right w:val="nil"/>
            </w:tcBorders>
            <w:tcMar>
              <w:top w:w="0" w:type="dxa"/>
              <w:left w:w="108" w:type="dxa"/>
              <w:bottom w:w="0" w:type="dxa"/>
              <w:right w:w="108" w:type="dxa"/>
            </w:tcMar>
          </w:tcPr>
          <w:p w14:paraId="294159B9" w14:textId="77777777" w:rsidR="00187F02" w:rsidRPr="0034428B" w:rsidRDefault="00187F02" w:rsidP="00510B7A">
            <w:pPr>
              <w:widowControl/>
              <w:spacing w:before="120" w:after="120"/>
              <w:rPr>
                <w:rFonts w:cs="Arial"/>
                <w:b/>
                <w:bCs/>
                <w:sz w:val="18"/>
                <w:szCs w:val="18"/>
                <w:lang w:eastAsia="en-GB"/>
              </w:rPr>
            </w:pPr>
          </w:p>
        </w:tc>
        <w:tc>
          <w:tcPr>
            <w:tcW w:w="2693" w:type="dxa"/>
            <w:tcBorders>
              <w:top w:val="nil"/>
              <w:left w:val="nil"/>
              <w:right w:val="nil"/>
            </w:tcBorders>
          </w:tcPr>
          <w:p w14:paraId="4B1BC940" w14:textId="77777777" w:rsidR="00187F02" w:rsidRPr="0034428B" w:rsidRDefault="00187F02" w:rsidP="00C360E1">
            <w:pPr>
              <w:pStyle w:val="ListParagraph"/>
              <w:widowControl/>
              <w:numPr>
                <w:ilvl w:val="0"/>
                <w:numId w:val="41"/>
              </w:numPr>
              <w:spacing w:before="120" w:after="120"/>
              <w:ind w:left="429" w:right="36" w:hanging="283"/>
              <w:contextualSpacing w:val="0"/>
              <w:rPr>
                <w:rFonts w:cs="Arial"/>
                <w:i/>
                <w:sz w:val="18"/>
                <w:szCs w:val="18"/>
                <w:lang w:eastAsia="en-GB"/>
              </w:rPr>
            </w:pPr>
            <w:r w:rsidRPr="0034428B">
              <w:rPr>
                <w:i/>
                <w:sz w:val="18"/>
                <w:szCs w:val="18"/>
              </w:rPr>
              <w:t>Escherichia coli</w:t>
            </w:r>
            <w:r w:rsidRPr="0034428B">
              <w:rPr>
                <w:sz w:val="18"/>
                <w:szCs w:val="18"/>
              </w:rPr>
              <w:t xml:space="preserve"> BL21 containing the gene for alpha-1,2-fucosyltransferase from </w:t>
            </w:r>
            <w:r w:rsidRPr="0034428B">
              <w:rPr>
                <w:i/>
                <w:sz w:val="18"/>
                <w:szCs w:val="18"/>
              </w:rPr>
              <w:t>Escherichia coli</w:t>
            </w:r>
            <w:r w:rsidRPr="0034428B">
              <w:rPr>
                <w:sz w:val="18"/>
                <w:szCs w:val="18"/>
              </w:rPr>
              <w:t xml:space="preserve"> O126</w:t>
            </w:r>
          </w:p>
        </w:tc>
        <w:tc>
          <w:tcPr>
            <w:tcW w:w="993" w:type="dxa"/>
            <w:tcBorders>
              <w:top w:val="nil"/>
              <w:left w:val="nil"/>
              <w:right w:val="nil"/>
            </w:tcBorders>
            <w:tcMar>
              <w:top w:w="0" w:type="dxa"/>
              <w:left w:w="108" w:type="dxa"/>
              <w:bottom w:w="0" w:type="dxa"/>
              <w:right w:w="108" w:type="dxa"/>
            </w:tcMar>
          </w:tcPr>
          <w:p w14:paraId="04047B30" w14:textId="77777777" w:rsidR="00187F02" w:rsidRPr="0034428B" w:rsidRDefault="00187F02" w:rsidP="00510B7A">
            <w:pPr>
              <w:widowControl/>
              <w:spacing w:before="120" w:after="120"/>
              <w:rPr>
                <w:rFonts w:cs="Arial"/>
                <w:sz w:val="18"/>
                <w:szCs w:val="18"/>
                <w:lang w:eastAsia="en-GB"/>
              </w:rPr>
            </w:pPr>
          </w:p>
        </w:tc>
        <w:tc>
          <w:tcPr>
            <w:tcW w:w="3260" w:type="dxa"/>
            <w:tcBorders>
              <w:top w:val="nil"/>
              <w:left w:val="nil"/>
              <w:right w:val="nil"/>
            </w:tcBorders>
          </w:tcPr>
          <w:p w14:paraId="3AF6993C" w14:textId="77777777" w:rsidR="00187F02" w:rsidRPr="0034428B" w:rsidRDefault="00187F02" w:rsidP="00C64722">
            <w:pPr>
              <w:pStyle w:val="FSCtblMain"/>
              <w:numPr>
                <w:ilvl w:val="0"/>
                <w:numId w:val="42"/>
              </w:numPr>
              <w:spacing w:before="120" w:after="120"/>
              <w:ind w:left="282" w:hanging="282"/>
              <w:rPr>
                <w:szCs w:val="18"/>
                <w:lang w:eastAsia="en-GB" w:bidi="en-US"/>
              </w:rPr>
            </w:pPr>
            <w:r w:rsidRPr="0034428B">
              <w:rPr>
                <w:szCs w:val="18"/>
                <w:lang w:bidi="en-US"/>
              </w:rPr>
              <w:t>May only be added to infant formula products.</w:t>
            </w:r>
          </w:p>
          <w:p w14:paraId="21616080" w14:textId="77777777" w:rsidR="00187F02" w:rsidRPr="00F1592D" w:rsidRDefault="00187F02" w:rsidP="00C64722">
            <w:pPr>
              <w:pStyle w:val="ListParagraph"/>
              <w:widowControl/>
              <w:numPr>
                <w:ilvl w:val="0"/>
                <w:numId w:val="42"/>
              </w:numPr>
              <w:spacing w:before="120" w:after="120"/>
              <w:ind w:left="286" w:right="36" w:hanging="283"/>
              <w:contextualSpacing w:val="0"/>
              <w:rPr>
                <w:rFonts w:cs="Arial"/>
                <w:sz w:val="18"/>
                <w:szCs w:val="18"/>
                <w:lang w:eastAsia="en-GB"/>
              </w:rPr>
            </w:pPr>
            <w:r w:rsidRPr="00F1592D">
              <w:rPr>
                <w:rFonts w:cs="Arial"/>
                <w:sz w:val="18"/>
                <w:szCs w:val="18"/>
                <w:lang w:eastAsia="en-GB"/>
              </w:rPr>
              <w:t>During the exclusive use period, may only be sold under the brand CHR. HANSEN</w:t>
            </w:r>
            <w:r>
              <w:rPr>
                <w:rFonts w:cs="Arial"/>
                <w:sz w:val="18"/>
                <w:szCs w:val="18"/>
                <w:lang w:eastAsia="en-GB"/>
              </w:rPr>
              <w:t>™</w:t>
            </w:r>
            <w:r w:rsidRPr="00F1592D">
              <w:rPr>
                <w:rFonts w:cs="Arial"/>
                <w:sz w:val="18"/>
                <w:szCs w:val="18"/>
                <w:lang w:eastAsia="en-GB"/>
              </w:rPr>
              <w:t xml:space="preserve"> 2′-FL.</w:t>
            </w:r>
          </w:p>
          <w:p w14:paraId="2FBFCFD7" w14:textId="77777777" w:rsidR="00187F02" w:rsidRPr="0034428B" w:rsidRDefault="00187F02" w:rsidP="00C64722">
            <w:pPr>
              <w:pStyle w:val="ListParagraph"/>
              <w:widowControl/>
              <w:numPr>
                <w:ilvl w:val="0"/>
                <w:numId w:val="42"/>
              </w:numPr>
              <w:spacing w:before="120" w:after="120"/>
              <w:ind w:left="289" w:right="34" w:hanging="283"/>
              <w:contextualSpacing w:val="0"/>
              <w:rPr>
                <w:rFonts w:cs="Arial"/>
                <w:sz w:val="18"/>
                <w:szCs w:val="18"/>
                <w:lang w:eastAsia="en-AU"/>
              </w:rPr>
            </w:pPr>
            <w:r w:rsidRPr="0034428B">
              <w:rPr>
                <w:sz w:val="18"/>
                <w:szCs w:val="18"/>
                <w:lang w:eastAsia="en-GB"/>
              </w:rPr>
              <w:t xml:space="preserve">For the purposes of condition 2 above, </w:t>
            </w:r>
            <w:r w:rsidRPr="0034428B">
              <w:rPr>
                <w:b/>
                <w:sz w:val="18"/>
                <w:szCs w:val="18"/>
                <w:lang w:eastAsia="en-GB"/>
              </w:rPr>
              <w:t>exclusive use period</w:t>
            </w:r>
            <w:r w:rsidRPr="0034428B">
              <w:rPr>
                <w:sz w:val="18"/>
                <w:szCs w:val="18"/>
                <w:lang w:eastAsia="en-GB"/>
              </w:rPr>
              <w:t xml:space="preserve"> means the period commencing on the date of gazettal of the </w:t>
            </w:r>
            <w:r w:rsidRPr="0034428B">
              <w:rPr>
                <w:i/>
                <w:sz w:val="18"/>
                <w:szCs w:val="18"/>
                <w:lang w:eastAsia="en-GB"/>
              </w:rPr>
              <w:t>Food Standards (Application A1190 – 2</w:t>
            </w:r>
            <w:r w:rsidRPr="00EC22F2">
              <w:rPr>
                <w:sz w:val="18"/>
              </w:rPr>
              <w:t>′</w:t>
            </w:r>
            <w:r w:rsidRPr="0034428B">
              <w:rPr>
                <w:i/>
                <w:sz w:val="18"/>
                <w:szCs w:val="18"/>
                <w:lang w:eastAsia="en-GB"/>
              </w:rPr>
              <w:t>-FL in infant formula and other products) Variation</w:t>
            </w:r>
            <w:r w:rsidRPr="0034428B">
              <w:rPr>
                <w:sz w:val="18"/>
                <w:szCs w:val="18"/>
                <w:lang w:eastAsia="en-GB"/>
              </w:rPr>
              <w:t xml:space="preserve"> and ending 15 months after that date</w:t>
            </w:r>
          </w:p>
        </w:tc>
      </w:tr>
    </w:tbl>
    <w:p w14:paraId="3201F1F0" w14:textId="77777777" w:rsidR="00187F02" w:rsidRPr="000D7852" w:rsidRDefault="00187F02" w:rsidP="00510B7A">
      <w:pPr>
        <w:pStyle w:val="FSCDraftingitem"/>
        <w:rPr>
          <w:rStyle w:val="CommentReference"/>
        </w:rPr>
      </w:pPr>
      <w:r>
        <w:rPr>
          <w:lang w:bidi="en-US"/>
        </w:rPr>
        <w:t>[3.2]</w:t>
      </w:r>
      <w:r>
        <w:rPr>
          <w:lang w:bidi="en-US"/>
        </w:rPr>
        <w:tab/>
        <w:t>omitting “</w:t>
      </w:r>
      <w:r w:rsidRPr="0068561C">
        <w:t>2′-</w:t>
      </w:r>
      <w:r>
        <w:t xml:space="preserve">O-fucosyllactose” </w:t>
      </w:r>
      <w:r>
        <w:rPr>
          <w:lang w:bidi="en-US"/>
        </w:rPr>
        <w:t>in item 2 in the table to subsection S</w:t>
      </w:r>
      <w:r>
        <w:t>26—3</w:t>
      </w:r>
      <w:r>
        <w:rPr>
          <w:lang w:bidi="en-US"/>
        </w:rPr>
        <w:t>(7)</w:t>
      </w:r>
      <w:r>
        <w:t>, substituting “2′</w:t>
      </w:r>
      <w:r w:rsidRPr="007B2F80">
        <w:t>-fucosyllactose</w:t>
      </w:r>
      <w:r>
        <w:t>”</w:t>
      </w:r>
    </w:p>
    <w:p w14:paraId="0FAB4B26" w14:textId="6083807A" w:rsidR="00187F02" w:rsidRPr="00B63989" w:rsidRDefault="00187F02" w:rsidP="00510B7A">
      <w:pPr>
        <w:pStyle w:val="FSCDraftingitem"/>
      </w:pPr>
      <w:r w:rsidDel="00BF0AD7">
        <w:rPr>
          <w:rStyle w:val="CommentReference"/>
        </w:rPr>
        <w:t xml:space="preserve"> </w:t>
      </w:r>
      <w:r w:rsidRPr="00E41CE3">
        <w:rPr>
          <w:b/>
          <w:lang w:bidi="en-US"/>
        </w:rPr>
        <w:t>[</w:t>
      </w:r>
      <w:r>
        <w:rPr>
          <w:b/>
          <w:lang w:bidi="en-US"/>
        </w:rPr>
        <w:t>4</w:t>
      </w:r>
      <w:r w:rsidRPr="00E41CE3">
        <w:rPr>
          <w:b/>
          <w:lang w:bidi="en-US"/>
        </w:rPr>
        <w:t>]</w:t>
      </w:r>
      <w:r w:rsidRPr="00E41CE3">
        <w:rPr>
          <w:b/>
          <w:lang w:bidi="en-US"/>
        </w:rPr>
        <w:tab/>
        <w:t>Schedule 29</w:t>
      </w:r>
      <w:r>
        <w:rPr>
          <w:lang w:bidi="en-US"/>
        </w:rPr>
        <w:t xml:space="preserve"> is </w:t>
      </w:r>
      <w:r w:rsidRPr="00573CA7">
        <w:t>varied</w:t>
      </w:r>
      <w:r>
        <w:rPr>
          <w:lang w:bidi="en-US"/>
        </w:rPr>
        <w:t xml:space="preserve"> by omitting </w:t>
      </w:r>
      <w:r w:rsidR="00E13765">
        <w:t>“</w:t>
      </w:r>
      <w:r w:rsidRPr="005C7DDE">
        <w:rPr>
          <w:lang w:bidi="en-US"/>
        </w:rPr>
        <w:t>2′-O-fucosyllactose” (wherever occurring)</w:t>
      </w:r>
      <w:r>
        <w:rPr>
          <w:lang w:bidi="en-US"/>
        </w:rPr>
        <w:t xml:space="preserve"> in the table to </w:t>
      </w:r>
      <w:r w:rsidRPr="00516601">
        <w:t>section 2.9.1—5</w:t>
      </w:r>
      <w:r w:rsidRPr="005C7DDE">
        <w:rPr>
          <w:lang w:bidi="en-US"/>
        </w:rPr>
        <w:t>, substituting “2′-fucosyllactose”</w:t>
      </w:r>
    </w:p>
    <w:bookmarkEnd w:id="180"/>
    <w:bookmarkEnd w:id="181"/>
    <w:bookmarkEnd w:id="182"/>
    <w:bookmarkEnd w:id="183"/>
    <w:bookmarkEnd w:id="184"/>
    <w:bookmarkEnd w:id="185"/>
    <w:bookmarkEnd w:id="186"/>
    <w:p w14:paraId="346ADACD" w14:textId="6EEB9F72" w:rsidR="0012388D" w:rsidRPr="00187F02" w:rsidRDefault="0012388D" w:rsidP="00510B7A">
      <w:pPr>
        <w:widowControl/>
        <w:spacing w:before="120" w:after="120"/>
        <w:rPr>
          <w:lang w:val="en-AU" w:eastAsia="en-GB" w:bidi="ar-SA"/>
        </w:rPr>
      </w:pPr>
    </w:p>
    <w:sectPr w:rsidR="0012388D" w:rsidRPr="00187F02" w:rsidSect="000B74E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1CAF6" w14:textId="77777777" w:rsidR="00A0048C" w:rsidRDefault="00A0048C">
      <w:r>
        <w:separator/>
      </w:r>
    </w:p>
    <w:p w14:paraId="44F42C9D" w14:textId="77777777" w:rsidR="00A0048C" w:rsidRDefault="00A0048C"/>
  </w:endnote>
  <w:endnote w:type="continuationSeparator" w:id="0">
    <w:p w14:paraId="18E09A2C" w14:textId="77777777" w:rsidR="00A0048C" w:rsidRDefault="00A0048C">
      <w:r>
        <w:continuationSeparator/>
      </w:r>
    </w:p>
    <w:p w14:paraId="7B874626" w14:textId="77777777" w:rsidR="00A0048C" w:rsidRDefault="00A0048C"/>
  </w:endnote>
  <w:endnote w:type="continuationNotice" w:id="1">
    <w:p w14:paraId="4C55E7FD" w14:textId="77777777" w:rsidR="00A0048C" w:rsidRDefault="00A0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46640963" w:rsidR="00274772" w:rsidRDefault="00274772" w:rsidP="001C7F9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274772" w:rsidRDefault="00274772" w:rsidP="00D6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65FC9211" w:rsidR="00274772" w:rsidRDefault="00274772"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D6041D">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6041D">
          <w:rPr>
            <w:b/>
            <w:bCs/>
            <w:noProof/>
          </w:rPr>
          <w:t>44</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F634D" w14:textId="77777777" w:rsidR="00A0048C" w:rsidRDefault="00A0048C">
      <w:r>
        <w:separator/>
      </w:r>
    </w:p>
  </w:footnote>
  <w:footnote w:type="continuationSeparator" w:id="0">
    <w:p w14:paraId="6DA5EB4C" w14:textId="77777777" w:rsidR="00A0048C" w:rsidRDefault="00A0048C">
      <w:r>
        <w:continuationSeparator/>
      </w:r>
    </w:p>
  </w:footnote>
  <w:footnote w:type="continuationNotice" w:id="1">
    <w:p w14:paraId="7879659B" w14:textId="77777777" w:rsidR="00A0048C" w:rsidRDefault="00A0048C"/>
  </w:footnote>
  <w:footnote w:id="2">
    <w:p w14:paraId="63560707" w14:textId="3188ABCB" w:rsidR="00274772" w:rsidRPr="00350E09" w:rsidRDefault="00274772" w:rsidP="000423A3">
      <w:pPr>
        <w:pStyle w:val="Heading1"/>
        <w:shd w:val="clear" w:color="auto" w:fill="FFFFFF"/>
        <w:spacing w:before="0" w:after="0"/>
        <w:ind w:left="142" w:hanging="142"/>
        <w:rPr>
          <w:lang w:val="en-AU"/>
        </w:rPr>
      </w:pPr>
      <w:r w:rsidRPr="00350E09">
        <w:rPr>
          <w:rStyle w:val="FootnoteReference"/>
          <w:rFonts w:cs="Arial"/>
          <w:b w:val="0"/>
          <w:sz w:val="16"/>
        </w:rPr>
        <w:footnoteRef/>
      </w:r>
      <w:r w:rsidRPr="00350E09">
        <w:rPr>
          <w:rFonts w:cs="Arial"/>
          <w:b w:val="0"/>
          <w:sz w:val="16"/>
        </w:rPr>
        <w:t xml:space="preserve"> </w:t>
      </w:r>
      <w:r>
        <w:rPr>
          <w:rFonts w:cs="Arial"/>
          <w:b w:val="0"/>
          <w:sz w:val="16"/>
        </w:rPr>
        <w:t xml:space="preserve">The application was originally submitted by </w:t>
      </w:r>
      <w:r w:rsidRPr="00350E09">
        <w:rPr>
          <w:rFonts w:eastAsia="Microsoft YaHei" w:cs="Arial"/>
          <w:b w:val="0"/>
          <w:bCs w:val="0"/>
          <w:sz w:val="16"/>
        </w:rPr>
        <w:t>Jennewein Biotechnologie GmbH</w:t>
      </w:r>
      <w:r>
        <w:rPr>
          <w:rFonts w:eastAsia="Microsoft YaHei" w:cs="Arial"/>
          <w:b w:val="0"/>
          <w:bCs w:val="0"/>
          <w:sz w:val="16"/>
        </w:rPr>
        <w:t xml:space="preserve">. </w:t>
      </w:r>
      <w:r w:rsidRPr="00350E09">
        <w:rPr>
          <w:rFonts w:eastAsia="Microsoft YaHei" w:cs="Arial"/>
          <w:b w:val="0"/>
          <w:bCs w:val="0"/>
          <w:sz w:val="16"/>
        </w:rPr>
        <w:t>Chr. Hansen</w:t>
      </w:r>
      <w:r>
        <w:rPr>
          <w:rFonts w:eastAsia="Microsoft YaHei" w:cs="Arial"/>
          <w:b w:val="0"/>
          <w:bCs w:val="0"/>
          <w:sz w:val="16"/>
        </w:rPr>
        <w:t xml:space="preserve"> A/S</w:t>
      </w:r>
      <w:r w:rsidRPr="00350E09">
        <w:rPr>
          <w:rFonts w:eastAsia="Microsoft YaHei" w:cs="Arial"/>
          <w:b w:val="0"/>
          <w:bCs w:val="0"/>
          <w:sz w:val="16"/>
        </w:rPr>
        <w:t xml:space="preserve"> acquired Jennewein Biotechnologie GmbH</w:t>
      </w:r>
      <w:r>
        <w:rPr>
          <w:rFonts w:eastAsia="Microsoft YaHei" w:cs="Arial"/>
          <w:b w:val="0"/>
          <w:bCs w:val="0"/>
          <w:sz w:val="16"/>
        </w:rPr>
        <w:t xml:space="preserve"> following acceptance of the Application by FSANZ. The applicant is now </w:t>
      </w:r>
      <w:r w:rsidRPr="002550B9">
        <w:rPr>
          <w:rFonts w:eastAsia="Microsoft YaHei" w:cs="Arial"/>
          <w:b w:val="0"/>
          <w:bCs w:val="0"/>
          <w:sz w:val="16"/>
        </w:rPr>
        <w:t>Chr. Hansen</w:t>
      </w:r>
      <w:r>
        <w:rPr>
          <w:rFonts w:eastAsia="Microsoft YaHei" w:cs="Arial"/>
          <w:b w:val="0"/>
          <w:bCs w:val="0"/>
          <w:sz w:val="16"/>
        </w:rPr>
        <w:t xml:space="preserve"> A/S.</w:t>
      </w:r>
    </w:p>
  </w:footnote>
  <w:footnote w:id="3">
    <w:p w14:paraId="5F2027A3" w14:textId="77777777" w:rsidR="00D6041D" w:rsidRPr="00A85C60" w:rsidRDefault="00D6041D" w:rsidP="00D6041D">
      <w:pPr>
        <w:pStyle w:val="FootnoteText"/>
        <w:rPr>
          <w:lang w:val="en-AU"/>
        </w:rPr>
      </w:pPr>
      <w:r>
        <w:rPr>
          <w:rStyle w:val="FootnoteReference"/>
        </w:rPr>
        <w:footnoteRef/>
      </w:r>
      <w:r>
        <w:t xml:space="preserve"> </w:t>
      </w:r>
      <w:r w:rsidRPr="00B6497A">
        <w:rPr>
          <w:sz w:val="16"/>
          <w:szCs w:val="16"/>
        </w:rPr>
        <w:t>Formerly the Australia and New Zealand Ministerial Forum on Food Regulation.</w:t>
      </w:r>
    </w:p>
  </w:footnote>
  <w:footnote w:id="4">
    <w:p w14:paraId="6ED98FC5" w14:textId="0E9F75F7" w:rsidR="00274772" w:rsidRPr="00B77F2E" w:rsidRDefault="00274772">
      <w:pPr>
        <w:pStyle w:val="FootnoteText"/>
        <w:rPr>
          <w:sz w:val="16"/>
        </w:rPr>
      </w:pPr>
      <w:r w:rsidRPr="00B77F2E">
        <w:rPr>
          <w:sz w:val="16"/>
        </w:rPr>
        <w:footnoteRef/>
      </w:r>
      <w:r w:rsidRPr="00B77F2E">
        <w:rPr>
          <w:sz w:val="16"/>
        </w:rPr>
        <w:t xml:space="preserve"> The application was originally submitted by Jennewein Biotechnologie GmbH. Chr. Hansen A/S acquired Jennewein Biotechnologie GmbH following acceptance of the </w:t>
      </w:r>
      <w:r>
        <w:rPr>
          <w:sz w:val="16"/>
        </w:rPr>
        <w:t>a</w:t>
      </w:r>
      <w:r w:rsidRPr="00B77F2E">
        <w:rPr>
          <w:sz w:val="16"/>
        </w:rPr>
        <w:t>pplication by FSANZ. The applicant is now Chr. Hansen A/S.</w:t>
      </w:r>
    </w:p>
  </w:footnote>
  <w:footnote w:id="5">
    <w:p w14:paraId="7F9A094A" w14:textId="77777777" w:rsidR="00274772" w:rsidRPr="00A93F92" w:rsidRDefault="00274772" w:rsidP="00430769">
      <w:pPr>
        <w:pStyle w:val="FootnoteText"/>
        <w:rPr>
          <w:sz w:val="16"/>
        </w:rPr>
      </w:pPr>
      <w:r w:rsidRPr="006D2D6F">
        <w:rPr>
          <w:rStyle w:val="FootnoteReference"/>
          <w:sz w:val="16"/>
        </w:rPr>
        <w:footnoteRef/>
      </w:r>
      <w:r w:rsidRPr="006D2D6F">
        <w:rPr>
          <w:sz w:val="16"/>
        </w:rPr>
        <w:t xml:space="preserve"> </w:t>
      </w:r>
      <w:hyperlink r:id="rId1" w:history="1">
        <w:r w:rsidRPr="0041388C">
          <w:rPr>
            <w:rStyle w:val="Hyperlink"/>
            <w:sz w:val="16"/>
          </w:rPr>
          <w:t>https://foodregulation.gov.au/internet/fr/publishing.nsf/Content/food-policies</w:t>
        </w:r>
      </w:hyperlink>
    </w:p>
  </w:footnote>
  <w:footnote w:id="6">
    <w:p w14:paraId="307AD06E" w14:textId="2F8A25CB" w:rsidR="00274772" w:rsidRPr="0081587D" w:rsidRDefault="00274772">
      <w:pPr>
        <w:pStyle w:val="FootnoteText"/>
        <w:rPr>
          <w:lang w:val="en-AU"/>
        </w:rPr>
      </w:pPr>
      <w:r w:rsidRPr="0081587D">
        <w:rPr>
          <w:rStyle w:val="FootnoteReference"/>
          <w:sz w:val="16"/>
        </w:rPr>
        <w:footnoteRef/>
      </w:r>
      <w:r w:rsidRPr="0081587D">
        <w:rPr>
          <w:sz w:val="16"/>
        </w:rPr>
        <w:t xml:space="preserve"> </w:t>
      </w:r>
      <w:hyperlink r:id="rId2" w:history="1">
        <w:r w:rsidRPr="00C76FEE">
          <w:rPr>
            <w:rStyle w:val="Hyperlink"/>
            <w:sz w:val="16"/>
          </w:rPr>
          <w:t>https://foodregulation.gov.au/internet/fr/publishing.nsf/Content/forum-communique-2020-November27</w:t>
        </w:r>
      </w:hyperlink>
    </w:p>
  </w:footnote>
  <w:footnote w:id="7">
    <w:p w14:paraId="0A5E6889" w14:textId="3BC80395" w:rsidR="00274772" w:rsidRPr="00484245" w:rsidRDefault="00274772">
      <w:pPr>
        <w:pStyle w:val="FootnoteText"/>
        <w:rPr>
          <w:lang w:val="en-AU"/>
        </w:rPr>
      </w:pPr>
      <w:r>
        <w:rPr>
          <w:rStyle w:val="FootnoteReference"/>
        </w:rPr>
        <w:footnoteRef/>
      </w:r>
      <w:r>
        <w:t xml:space="preserve"> </w:t>
      </w:r>
      <w:hyperlink r:id="rId3" w:history="1">
        <w:r w:rsidRPr="00C76FEE">
          <w:rPr>
            <w:rStyle w:val="Hyperlink"/>
            <w:sz w:val="16"/>
          </w:rPr>
          <w:t>https://foodregulation.gov.au/internet/fr/publishing.nsf/Content/forum-communique-2020-November27</w:t>
        </w:r>
      </w:hyperlink>
    </w:p>
  </w:footnote>
  <w:footnote w:id="8">
    <w:p w14:paraId="39BF623E" w14:textId="77777777" w:rsidR="00274772" w:rsidRPr="00930E30" w:rsidRDefault="00274772" w:rsidP="009856D5">
      <w:pPr>
        <w:pStyle w:val="FootnoteText"/>
        <w:rPr>
          <w:sz w:val="18"/>
          <w:lang w:val="en-AU"/>
        </w:rPr>
      </w:pPr>
      <w:r w:rsidRPr="00930E30">
        <w:rPr>
          <w:rStyle w:val="FootnoteReference"/>
          <w:sz w:val="18"/>
        </w:rPr>
        <w:footnoteRef/>
      </w:r>
      <w:r w:rsidRPr="00930E30">
        <w:rPr>
          <w:sz w:val="18"/>
        </w:rPr>
        <w:t xml:space="preserve"> </w:t>
      </w:r>
      <w:r w:rsidRPr="00790CBA">
        <w:rPr>
          <w:sz w:val="16"/>
          <w:szCs w:val="22"/>
        </w:rPr>
        <w:t xml:space="preserve">Including </w:t>
      </w:r>
      <w:r w:rsidRPr="00790CBA">
        <w:rPr>
          <w:sz w:val="16"/>
          <w:lang w:val="en-AU"/>
        </w:rPr>
        <w:t>infant formula, follow-on formula and infant formula products for special dietary use.</w:t>
      </w:r>
    </w:p>
  </w:footnote>
  <w:footnote w:id="9">
    <w:p w14:paraId="7E28C7CD" w14:textId="77777777" w:rsidR="00274772" w:rsidRPr="00930E30" w:rsidRDefault="00274772" w:rsidP="009856D5">
      <w:pPr>
        <w:pStyle w:val="FootnoteText"/>
        <w:rPr>
          <w:sz w:val="18"/>
          <w:lang w:val="en-AU"/>
        </w:rPr>
      </w:pPr>
      <w:r w:rsidRPr="00930E30">
        <w:rPr>
          <w:rStyle w:val="FootnoteReference"/>
          <w:sz w:val="18"/>
        </w:rPr>
        <w:footnoteRef/>
      </w:r>
      <w:r w:rsidRPr="00930E30">
        <w:rPr>
          <w:sz w:val="18"/>
        </w:rPr>
        <w:t xml:space="preserve"> </w:t>
      </w:r>
      <w:r w:rsidRPr="00790CBA">
        <w:rPr>
          <w:sz w:val="16"/>
        </w:rPr>
        <w:t>‘T</w:t>
      </w:r>
      <w:r w:rsidRPr="00790CBA">
        <w:rPr>
          <w:sz w:val="16"/>
          <w:szCs w:val="22"/>
        </w:rPr>
        <w:t>oddler milk’ is the main type of FSFYC currently available.</w:t>
      </w:r>
    </w:p>
  </w:footnote>
  <w:footnote w:id="10">
    <w:p w14:paraId="7D85F729" w14:textId="77777777" w:rsidR="00274772" w:rsidRPr="00930E30" w:rsidRDefault="00274772" w:rsidP="009856D5">
      <w:pPr>
        <w:pStyle w:val="FootnoteText"/>
        <w:rPr>
          <w:lang w:val="en-AU"/>
        </w:rPr>
      </w:pPr>
      <w:r w:rsidRPr="00930E30">
        <w:rPr>
          <w:rStyle w:val="FootnoteReference"/>
          <w:sz w:val="18"/>
        </w:rPr>
        <w:footnoteRef/>
      </w:r>
      <w:r w:rsidRPr="00930E30">
        <w:rPr>
          <w:sz w:val="18"/>
        </w:rPr>
        <w:t xml:space="preserve"> </w:t>
      </w:r>
      <w:r w:rsidRPr="00790CBA">
        <w:rPr>
          <w:sz w:val="16"/>
          <w:szCs w:val="22"/>
        </w:rPr>
        <w:t xml:space="preserve">2′-FL exists naturally in human milk and can be synthesised chemically or through microbial fermentation. The A1190 SD1 refers to </w:t>
      </w:r>
      <w:r w:rsidRPr="00790CBA">
        <w:rPr>
          <w:sz w:val="16"/>
        </w:rPr>
        <w:t>2′-FL</w:t>
      </w:r>
      <w:r w:rsidRPr="00790CBA">
        <w:rPr>
          <w:sz w:val="16"/>
          <w:vertAlign w:val="subscript"/>
        </w:rPr>
        <w:t>human</w:t>
      </w:r>
      <w:r w:rsidRPr="00790CBA">
        <w:rPr>
          <w:sz w:val="16"/>
          <w:szCs w:val="22"/>
        </w:rPr>
        <w:t xml:space="preserve"> / </w:t>
      </w:r>
      <w:r w:rsidRPr="00790CBA">
        <w:rPr>
          <w:sz w:val="16"/>
        </w:rPr>
        <w:t>2′-FL</w:t>
      </w:r>
      <w:r w:rsidRPr="00790CBA">
        <w:rPr>
          <w:sz w:val="16"/>
          <w:vertAlign w:val="subscript"/>
        </w:rPr>
        <w:t>chem</w:t>
      </w:r>
      <w:r w:rsidRPr="00790CBA">
        <w:rPr>
          <w:sz w:val="16"/>
        </w:rPr>
        <w:t xml:space="preserve"> / 2′-FL</w:t>
      </w:r>
      <w:r w:rsidRPr="00790CBA">
        <w:rPr>
          <w:sz w:val="16"/>
          <w:vertAlign w:val="subscript"/>
        </w:rPr>
        <w:t>micro</w:t>
      </w:r>
      <w:r w:rsidRPr="00790CBA">
        <w:rPr>
          <w:sz w:val="16"/>
        </w:rPr>
        <w:t xml:space="preserve"> (respectively), as studies have been done on the different forms, however for the purposes of this report ‘2′-FL’ refers only to the applicant’s 2′-FL</w:t>
      </w:r>
      <w:r w:rsidRPr="00790CBA">
        <w:rPr>
          <w:sz w:val="16"/>
          <w:vertAlign w:val="subscript"/>
        </w:rPr>
        <w:t>micro</w:t>
      </w:r>
      <w:r w:rsidRPr="00790CBA">
        <w:rPr>
          <w:sz w:val="16"/>
        </w:rPr>
        <w:t xml:space="preserve"> as the other forms are not referenced.</w:t>
      </w:r>
    </w:p>
  </w:footnote>
  <w:footnote w:id="11">
    <w:p w14:paraId="314AF204" w14:textId="77777777" w:rsidR="00274772" w:rsidRPr="005739BB" w:rsidRDefault="00274772" w:rsidP="009856D5">
      <w:pPr>
        <w:pStyle w:val="FootnoteText"/>
        <w:rPr>
          <w:lang w:val="en-AU"/>
        </w:rPr>
      </w:pPr>
      <w:r>
        <w:rPr>
          <w:rStyle w:val="FootnoteReference"/>
        </w:rPr>
        <w:footnoteRef/>
      </w:r>
      <w:r>
        <w:t xml:space="preserve"> </w:t>
      </w:r>
      <w:r>
        <w:rPr>
          <w:sz w:val="18"/>
        </w:rPr>
        <w:t xml:space="preserve">When permitted for use with </w:t>
      </w:r>
      <w:r w:rsidRPr="00FF2359">
        <w:rPr>
          <w:iCs/>
          <w:sz w:val="18"/>
          <w:lang w:val="en-AU"/>
        </w:rPr>
        <w:t xml:space="preserve">lacto-N-neotetraose </w:t>
      </w:r>
      <w:r>
        <w:rPr>
          <w:iCs/>
          <w:sz w:val="18"/>
          <w:lang w:val="en-AU"/>
        </w:rPr>
        <w:t>(</w:t>
      </w:r>
      <w:r>
        <w:rPr>
          <w:sz w:val="18"/>
        </w:rPr>
        <w:t>LNnT), these levels are reduced.</w:t>
      </w:r>
    </w:p>
  </w:footnote>
  <w:footnote w:id="12">
    <w:p w14:paraId="23334624" w14:textId="5CACE6F7" w:rsidR="00274772" w:rsidRPr="00EF01C8" w:rsidRDefault="00274772" w:rsidP="009856D5">
      <w:pPr>
        <w:pStyle w:val="FootnoteText"/>
        <w:rPr>
          <w:sz w:val="18"/>
          <w:szCs w:val="18"/>
          <w:lang w:val="en-AU"/>
        </w:rPr>
      </w:pPr>
      <w:r w:rsidRPr="00EF01C8">
        <w:rPr>
          <w:rStyle w:val="FootnoteReference"/>
          <w:sz w:val="18"/>
          <w:szCs w:val="18"/>
        </w:rPr>
        <w:footnoteRef/>
      </w:r>
      <w:r w:rsidRPr="00EF01C8">
        <w:rPr>
          <w:sz w:val="18"/>
          <w:szCs w:val="18"/>
        </w:rPr>
        <w:t xml:space="preserve"> </w:t>
      </w:r>
      <w:r w:rsidRPr="00EE3546">
        <w:rPr>
          <w:sz w:val="16"/>
          <w:szCs w:val="18"/>
        </w:rPr>
        <w:t>‘</w:t>
      </w:r>
      <w:r w:rsidRPr="00EE3546">
        <w:rPr>
          <w:sz w:val="16"/>
          <w:szCs w:val="18"/>
          <w:lang w:val="en-AU"/>
        </w:rPr>
        <w:t xml:space="preserve">Follow-up Formula’ is currently defined by Codex as </w:t>
      </w:r>
      <w:r w:rsidRPr="00EE3546">
        <w:rPr>
          <w:i/>
          <w:sz w:val="16"/>
          <w:szCs w:val="18"/>
          <w:lang w:val="en-AU"/>
        </w:rPr>
        <w:t>a food intended for use as a liquid part of the weaning diet for the infant from the 6</w:t>
      </w:r>
      <w:r w:rsidRPr="00EE3546">
        <w:rPr>
          <w:i/>
          <w:sz w:val="16"/>
          <w:szCs w:val="18"/>
          <w:vertAlign w:val="superscript"/>
          <w:lang w:val="en-AU"/>
        </w:rPr>
        <w:t>th</w:t>
      </w:r>
      <w:r w:rsidRPr="00EE3546">
        <w:rPr>
          <w:i/>
          <w:sz w:val="16"/>
          <w:szCs w:val="18"/>
          <w:lang w:val="en-AU"/>
        </w:rPr>
        <w:t xml:space="preserve"> month on and for young children </w:t>
      </w:r>
      <w:r w:rsidRPr="00EE3546">
        <w:rPr>
          <w:sz w:val="16"/>
          <w:szCs w:val="18"/>
          <w:lang w:val="en-AU"/>
        </w:rPr>
        <w:t>(12-36 months)</w:t>
      </w:r>
      <w:r>
        <w:rPr>
          <w:sz w:val="16"/>
          <w:szCs w:val="18"/>
          <w:lang w:val="en-AU"/>
        </w:rPr>
        <w:t xml:space="preserve"> (Section 1.1.2—3)</w:t>
      </w:r>
      <w:r w:rsidRPr="00EE3546">
        <w:rPr>
          <w:sz w:val="16"/>
          <w:szCs w:val="18"/>
          <w:lang w:val="en-AU"/>
        </w:rPr>
        <w:t xml:space="preserve">. </w:t>
      </w:r>
    </w:p>
  </w:footnote>
  <w:footnote w:id="13">
    <w:p w14:paraId="01169FE2" w14:textId="77777777" w:rsidR="00274772" w:rsidRPr="00EF01C8" w:rsidRDefault="00274772" w:rsidP="009856D5">
      <w:pPr>
        <w:pStyle w:val="FootnoteText"/>
        <w:rPr>
          <w:sz w:val="18"/>
          <w:szCs w:val="18"/>
          <w:lang w:val="en-AU"/>
        </w:rPr>
      </w:pPr>
      <w:r w:rsidRPr="00EF01C8">
        <w:rPr>
          <w:rStyle w:val="FootnoteReference"/>
          <w:sz w:val="18"/>
          <w:szCs w:val="18"/>
        </w:rPr>
        <w:footnoteRef/>
      </w:r>
      <w:r w:rsidRPr="00EF01C8">
        <w:rPr>
          <w:sz w:val="18"/>
          <w:szCs w:val="18"/>
        </w:rPr>
        <w:t xml:space="preserve"> </w:t>
      </w:r>
      <w:r w:rsidRPr="00EE3546">
        <w:rPr>
          <w:sz w:val="16"/>
          <w:szCs w:val="18"/>
        </w:rPr>
        <w:t xml:space="preserve">Currently under review by CCNFSDU. For further information, search on the </w:t>
      </w:r>
      <w:hyperlink r:id="rId4" w:history="1">
        <w:r w:rsidRPr="00EE3546">
          <w:rPr>
            <w:rStyle w:val="Hyperlink"/>
            <w:sz w:val="16"/>
            <w:szCs w:val="18"/>
          </w:rPr>
          <w:t>Codex Alimentarius website</w:t>
        </w:r>
      </w:hyperlink>
      <w:r w:rsidRPr="00EE3546">
        <w:rPr>
          <w:sz w:val="16"/>
          <w:szCs w:val="18"/>
        </w:rPr>
        <w:t xml:space="preserve">. </w:t>
      </w:r>
    </w:p>
  </w:footnote>
  <w:footnote w:id="14">
    <w:p w14:paraId="5C005B8B" w14:textId="77777777" w:rsidR="00274772" w:rsidRPr="00EF01C8" w:rsidRDefault="00274772" w:rsidP="009856D5">
      <w:pPr>
        <w:pStyle w:val="FootnoteText"/>
        <w:rPr>
          <w:sz w:val="18"/>
          <w:szCs w:val="18"/>
          <w:lang w:val="en-AU"/>
        </w:rPr>
      </w:pPr>
      <w:r w:rsidRPr="00EF01C8">
        <w:rPr>
          <w:rStyle w:val="FootnoteReference"/>
          <w:sz w:val="18"/>
          <w:szCs w:val="18"/>
        </w:rPr>
        <w:footnoteRef/>
      </w:r>
      <w:r w:rsidRPr="00EF01C8">
        <w:rPr>
          <w:sz w:val="18"/>
          <w:szCs w:val="18"/>
        </w:rPr>
        <w:t xml:space="preserve"> </w:t>
      </w:r>
      <w:r w:rsidRPr="00EE3546">
        <w:rPr>
          <w:sz w:val="16"/>
          <w:szCs w:val="18"/>
          <w:lang w:val="en-AU"/>
        </w:rPr>
        <w:t>‘No questions’ response means the USFDA does not question the basis for the notifier’s GRAS conclusion (USFDA 2015).</w:t>
      </w:r>
    </w:p>
  </w:footnote>
  <w:footnote w:id="15">
    <w:p w14:paraId="14C4D76A" w14:textId="77777777" w:rsidR="00274772" w:rsidRPr="00CA7FDA" w:rsidRDefault="00274772" w:rsidP="009856D5">
      <w:pPr>
        <w:pStyle w:val="FootnoteText"/>
        <w:rPr>
          <w:lang w:val="en-AU"/>
        </w:rPr>
      </w:pPr>
      <w:r w:rsidRPr="00EF01C8">
        <w:rPr>
          <w:rStyle w:val="FootnoteReference"/>
          <w:sz w:val="18"/>
          <w:szCs w:val="18"/>
        </w:rPr>
        <w:footnoteRef/>
      </w:r>
      <w:r w:rsidRPr="00EF01C8">
        <w:rPr>
          <w:sz w:val="18"/>
          <w:szCs w:val="18"/>
        </w:rPr>
        <w:t xml:space="preserve"> </w:t>
      </w:r>
      <w:r w:rsidRPr="00EE3546">
        <w:rPr>
          <w:sz w:val="16"/>
          <w:szCs w:val="16"/>
        </w:rPr>
        <w:t>‘</w:t>
      </w:r>
      <w:r w:rsidRPr="00EE3546">
        <w:rPr>
          <w:sz w:val="16"/>
          <w:szCs w:val="16"/>
          <w:lang w:val="en-AU"/>
        </w:rPr>
        <w:t xml:space="preserve">Infant formula’, ‘follow-on formula’, ‘foods for special medical purposes’ and ‘young children’ are defined in </w:t>
      </w:r>
      <w:hyperlink r:id="rId5" w:history="1">
        <w:r w:rsidRPr="00EE3546">
          <w:rPr>
            <w:rStyle w:val="Hyperlink"/>
            <w:sz w:val="16"/>
            <w:szCs w:val="16"/>
            <w:lang w:val="en-AU"/>
          </w:rPr>
          <w:t>Regulation (EU) No 609/2013</w:t>
        </w:r>
      </w:hyperlink>
      <w:r w:rsidRPr="00EE3546">
        <w:rPr>
          <w:sz w:val="16"/>
          <w:szCs w:val="16"/>
          <w:lang w:val="en-AU"/>
        </w:rPr>
        <w:t>.</w:t>
      </w:r>
    </w:p>
  </w:footnote>
  <w:footnote w:id="16">
    <w:p w14:paraId="5E88BC5F" w14:textId="7DB137E8" w:rsidR="00274772" w:rsidRPr="00341C8F" w:rsidRDefault="00274772" w:rsidP="009856D5">
      <w:pPr>
        <w:pStyle w:val="FootnoteText"/>
        <w:rPr>
          <w:lang w:val="en-AU"/>
        </w:rPr>
      </w:pPr>
      <w:r w:rsidRPr="00341C8F">
        <w:rPr>
          <w:rStyle w:val="FootnoteReference"/>
          <w:sz w:val="18"/>
        </w:rPr>
        <w:footnoteRef/>
      </w:r>
      <w:r w:rsidRPr="00341C8F">
        <w:rPr>
          <w:sz w:val="18"/>
        </w:rPr>
        <w:t xml:space="preserve"> </w:t>
      </w:r>
      <w:r w:rsidRPr="0073080B">
        <w:rPr>
          <w:sz w:val="16"/>
        </w:rPr>
        <w:t>For a full list of countries or regions where the applicant markets their 2</w:t>
      </w:r>
      <w:r w:rsidRPr="0073080B">
        <w:rPr>
          <w:bCs/>
          <w:sz w:val="16"/>
        </w:rPr>
        <w:t>′-FL</w:t>
      </w:r>
      <w:r w:rsidRPr="0073080B">
        <w:rPr>
          <w:sz w:val="16"/>
        </w:rPr>
        <w:t xml:space="preserve">, please see Table 29 on page 88 of </w:t>
      </w:r>
      <w:r>
        <w:rPr>
          <w:sz w:val="16"/>
        </w:rPr>
        <w:t>the application</w:t>
      </w:r>
      <w:r w:rsidRPr="0073080B">
        <w:rPr>
          <w:sz w:val="16"/>
        </w:rPr>
        <w:t>.</w:t>
      </w:r>
    </w:p>
  </w:footnote>
  <w:footnote w:id="17">
    <w:p w14:paraId="1B6204CE" w14:textId="77777777" w:rsidR="00274772" w:rsidRPr="0081587D" w:rsidRDefault="00274772" w:rsidP="0081587D">
      <w:pPr>
        <w:pStyle w:val="FootnoteText"/>
        <w:rPr>
          <w:lang w:val="en-AU"/>
        </w:rPr>
      </w:pPr>
      <w:r w:rsidRPr="0081587D">
        <w:rPr>
          <w:rStyle w:val="FootnoteReference"/>
          <w:sz w:val="16"/>
        </w:rPr>
        <w:footnoteRef/>
      </w:r>
      <w:r w:rsidRPr="0081587D">
        <w:rPr>
          <w:sz w:val="16"/>
        </w:rPr>
        <w:t xml:space="preserve"> </w:t>
      </w:r>
      <w:hyperlink r:id="rId6" w:history="1">
        <w:r w:rsidRPr="00C76FEE">
          <w:rPr>
            <w:rStyle w:val="Hyperlink"/>
            <w:sz w:val="16"/>
          </w:rPr>
          <w:t>https://foodregulation.gov.au/internet/fr/publishing.nsf/Content/forum-communique-2020-November27</w:t>
        </w:r>
      </w:hyperlink>
    </w:p>
  </w:footnote>
  <w:footnote w:id="18">
    <w:p w14:paraId="02D14B9E" w14:textId="77777777" w:rsidR="00274772" w:rsidRPr="00582642" w:rsidRDefault="00274772" w:rsidP="00A7422F">
      <w:pPr>
        <w:pStyle w:val="FootnoteText"/>
        <w:rPr>
          <w:lang w:val="en-AU"/>
        </w:rPr>
      </w:pPr>
      <w:r w:rsidRPr="00F8404D">
        <w:rPr>
          <w:rStyle w:val="FootnoteReference"/>
          <w:sz w:val="18"/>
        </w:rPr>
        <w:footnoteRef/>
      </w:r>
      <w:r w:rsidRPr="00F8404D">
        <w:rPr>
          <w:sz w:val="18"/>
        </w:rPr>
        <w:t xml:space="preserve"> </w:t>
      </w:r>
      <w:r w:rsidRPr="00A10E1D">
        <w:rPr>
          <w:sz w:val="16"/>
        </w:rPr>
        <w:t>2</w:t>
      </w:r>
      <w:r w:rsidRPr="00A10E1D">
        <w:rPr>
          <w:rFonts w:cs="Arial"/>
          <w:sz w:val="16"/>
        </w:rPr>
        <w:t>′</w:t>
      </w:r>
      <w:r w:rsidRPr="00A10E1D">
        <w:rPr>
          <w:sz w:val="16"/>
        </w:rPr>
        <w:t>-fucosyllactose</w:t>
      </w:r>
      <w:r w:rsidRPr="00A10E1D" w:rsidDel="008019EA">
        <w:rPr>
          <w:sz w:val="16"/>
        </w:rPr>
        <w:t xml:space="preserve"> </w:t>
      </w:r>
      <w:r w:rsidRPr="00A10E1D">
        <w:rPr>
          <w:sz w:val="16"/>
        </w:rPr>
        <w:t>is also known as 2</w:t>
      </w:r>
      <w:r w:rsidRPr="00A10E1D">
        <w:rPr>
          <w:rFonts w:cs="Arial"/>
          <w:sz w:val="16"/>
        </w:rPr>
        <w:t>′</w:t>
      </w:r>
      <w:r w:rsidRPr="00A10E1D">
        <w:rPr>
          <w:sz w:val="16"/>
        </w:rPr>
        <w:t>-O-</w:t>
      </w:r>
      <w:r w:rsidRPr="00A10E1D" w:rsidDel="008019EA">
        <w:rPr>
          <w:sz w:val="16"/>
        </w:rPr>
        <w:t>fucosyllactose</w:t>
      </w:r>
      <w:r w:rsidRPr="00A10E1D">
        <w:rPr>
          <w:sz w:val="16"/>
        </w:rPr>
        <w:t xml:space="preserve">. The </w:t>
      </w:r>
      <w:r w:rsidRPr="00A10E1D">
        <w:rPr>
          <w:i/>
          <w:sz w:val="16"/>
        </w:rPr>
        <w:t>O</w:t>
      </w:r>
      <w:r w:rsidRPr="00A10E1D">
        <w:rPr>
          <w:sz w:val="16"/>
        </w:rPr>
        <w:t xml:space="preserve"> indicates the fucosyl group is attached to an oxygen residue.</w:t>
      </w:r>
    </w:p>
  </w:footnote>
  <w:footnote w:id="19">
    <w:p w14:paraId="603405FE" w14:textId="77777777" w:rsidR="00274772" w:rsidRPr="00D86BB2" w:rsidRDefault="00274772" w:rsidP="00A7422F">
      <w:pPr>
        <w:pStyle w:val="FootnoteText"/>
        <w:rPr>
          <w:sz w:val="18"/>
          <w:szCs w:val="18"/>
          <w:lang w:val="en-AU"/>
        </w:rPr>
      </w:pPr>
      <w:r w:rsidRPr="00D86BB2">
        <w:rPr>
          <w:rStyle w:val="FootnoteReference"/>
          <w:sz w:val="18"/>
          <w:szCs w:val="18"/>
        </w:rPr>
        <w:footnoteRef/>
      </w:r>
      <w:r w:rsidRPr="00D86BB2">
        <w:rPr>
          <w:sz w:val="18"/>
          <w:szCs w:val="18"/>
        </w:rPr>
        <w:t xml:space="preserve"> </w:t>
      </w:r>
      <w:r w:rsidRPr="00C24545">
        <w:rPr>
          <w:sz w:val="16"/>
          <w:szCs w:val="16"/>
          <w:lang w:val="en-AU"/>
        </w:rPr>
        <w:t xml:space="preserve">For more information, see the </w:t>
      </w:r>
      <w:hyperlink r:id="rId7" w:history="1">
        <w:r w:rsidRPr="00C24545">
          <w:rPr>
            <w:rStyle w:val="Hyperlink"/>
            <w:sz w:val="16"/>
            <w:szCs w:val="16"/>
            <w:lang w:val="en-AU"/>
          </w:rPr>
          <w:t>A1155 Approval Report</w:t>
        </w:r>
      </w:hyperlink>
    </w:p>
  </w:footnote>
  <w:footnote w:id="20">
    <w:p w14:paraId="46D6D1F7" w14:textId="77777777" w:rsidR="00274772" w:rsidRPr="00D86BB2" w:rsidRDefault="00274772" w:rsidP="00A7422F">
      <w:pPr>
        <w:pStyle w:val="FootnoteText"/>
        <w:rPr>
          <w:sz w:val="18"/>
          <w:szCs w:val="18"/>
          <w:lang w:val="en-AU"/>
        </w:rPr>
      </w:pPr>
      <w:r w:rsidRPr="00D86BB2">
        <w:rPr>
          <w:rStyle w:val="FootnoteReference"/>
          <w:sz w:val="18"/>
          <w:szCs w:val="18"/>
        </w:rPr>
        <w:footnoteRef/>
      </w:r>
      <w:r w:rsidRPr="00D86BB2">
        <w:rPr>
          <w:sz w:val="18"/>
          <w:szCs w:val="18"/>
        </w:rPr>
        <w:t xml:space="preserve"> </w:t>
      </w:r>
      <w:r w:rsidRPr="00C24545">
        <w:rPr>
          <w:sz w:val="16"/>
          <w:szCs w:val="18"/>
          <w:lang w:val="en-AU"/>
        </w:rPr>
        <w:t xml:space="preserve">For more information, see the </w:t>
      </w:r>
      <w:hyperlink r:id="rId8" w:history="1">
        <w:r w:rsidRPr="00C24545">
          <w:rPr>
            <w:rStyle w:val="Hyperlink"/>
            <w:sz w:val="16"/>
            <w:szCs w:val="18"/>
            <w:lang w:val="en-AU"/>
          </w:rPr>
          <w:t>A1155 Review Report</w:t>
        </w:r>
      </w:hyperlink>
    </w:p>
  </w:footnote>
  <w:footnote w:id="21">
    <w:p w14:paraId="3A41D1C3" w14:textId="317FFC70" w:rsidR="00274772" w:rsidRPr="00A239A5" w:rsidRDefault="00274772" w:rsidP="00A7422F">
      <w:pPr>
        <w:pStyle w:val="FootnoteText"/>
        <w:rPr>
          <w:lang w:val="en-AU"/>
        </w:rPr>
      </w:pPr>
      <w:r w:rsidRPr="00D86BB2">
        <w:rPr>
          <w:rStyle w:val="FootnoteReference"/>
          <w:sz w:val="18"/>
          <w:szCs w:val="18"/>
        </w:rPr>
        <w:footnoteRef/>
      </w:r>
      <w:r w:rsidRPr="00D86BB2">
        <w:rPr>
          <w:sz w:val="18"/>
          <w:szCs w:val="18"/>
        </w:rPr>
        <w:t xml:space="preserve"> </w:t>
      </w:r>
      <w:r w:rsidRPr="007706A1">
        <w:rPr>
          <w:sz w:val="16"/>
          <w:szCs w:val="16"/>
        </w:rPr>
        <w:t xml:space="preserve">Formerly referred to as the Australia and New Zealand Ministerial Forum on Food Regulation. </w:t>
      </w:r>
      <w:hyperlink r:id="rId9" w:history="1">
        <w:r w:rsidRPr="00C24545">
          <w:rPr>
            <w:rStyle w:val="Hyperlink"/>
            <w:sz w:val="16"/>
            <w:szCs w:val="16"/>
            <w:lang w:val="en-AU"/>
          </w:rPr>
          <w:t>See the Australia and New Zealand Ministerial Forum on Food Regulation Communique 27 November 2020</w:t>
        </w:r>
      </w:hyperlink>
      <w:r w:rsidRPr="007C2272">
        <w:rPr>
          <w:rStyle w:val="Hyperlink"/>
          <w:sz w:val="16"/>
          <w:szCs w:val="16"/>
          <w:lang w:val="en-AU"/>
        </w:rPr>
        <w:t>.</w:t>
      </w:r>
    </w:p>
  </w:footnote>
  <w:footnote w:id="22">
    <w:p w14:paraId="76018E9D" w14:textId="14F8F51C" w:rsidR="00274772" w:rsidRPr="001E0FF1" w:rsidRDefault="00274772">
      <w:pPr>
        <w:pStyle w:val="FootnoteText"/>
        <w:rPr>
          <w:lang w:val="en-AU"/>
        </w:rPr>
      </w:pPr>
      <w:r>
        <w:rPr>
          <w:rStyle w:val="FootnoteReference"/>
        </w:rPr>
        <w:footnoteRef/>
      </w:r>
      <w:r>
        <w:t xml:space="preserve"> </w:t>
      </w:r>
      <w:hyperlink r:id="rId10" w:history="1">
        <w:r w:rsidRPr="00C76FEE">
          <w:rPr>
            <w:rStyle w:val="Hyperlink"/>
            <w:sz w:val="16"/>
          </w:rPr>
          <w:t>https://foodregulation.gov.au/internet/fr/publishing.nsf/Content/forum-communique-2020-November27</w:t>
        </w:r>
      </w:hyperlink>
    </w:p>
  </w:footnote>
  <w:footnote w:id="23">
    <w:p w14:paraId="53D48C4B" w14:textId="537D77BA" w:rsidR="00274772" w:rsidRPr="001C7F96" w:rsidRDefault="00274772">
      <w:pPr>
        <w:pStyle w:val="FootnoteText"/>
        <w:rPr>
          <w:lang w:val="en-AU"/>
        </w:rPr>
      </w:pPr>
      <w:r>
        <w:rPr>
          <w:rStyle w:val="FootnoteReference"/>
        </w:rPr>
        <w:footnoteRef/>
      </w:r>
      <w:r>
        <w:t xml:space="preserve"> </w:t>
      </w:r>
      <w:hyperlink r:id="rId11" w:history="1">
        <w:r w:rsidRPr="00C76FEE">
          <w:rPr>
            <w:rStyle w:val="Hyperlink"/>
            <w:sz w:val="16"/>
          </w:rPr>
          <w:t>https://foodregulation.gov.au/internet/fr/publishing.nsf/Content/forum-communique-2020-November27</w:t>
        </w:r>
      </w:hyperlink>
    </w:p>
  </w:footnote>
  <w:footnote w:id="24">
    <w:p w14:paraId="5E5E0CB6" w14:textId="77777777" w:rsidR="00274772" w:rsidRPr="00E533C9" w:rsidRDefault="00274772" w:rsidP="00A7422F">
      <w:pPr>
        <w:pStyle w:val="FootnoteText"/>
        <w:rPr>
          <w:sz w:val="18"/>
          <w:szCs w:val="18"/>
          <w:lang w:val="en-AU"/>
        </w:rPr>
      </w:pPr>
      <w:r w:rsidRPr="00E533C9">
        <w:rPr>
          <w:rStyle w:val="FootnoteReference"/>
          <w:sz w:val="18"/>
          <w:szCs w:val="18"/>
        </w:rPr>
        <w:footnoteRef/>
      </w:r>
      <w:r w:rsidRPr="00E533C9">
        <w:rPr>
          <w:sz w:val="18"/>
          <w:szCs w:val="18"/>
        </w:rPr>
        <w:t xml:space="preserve"> </w:t>
      </w:r>
      <w:r w:rsidRPr="00877592">
        <w:rPr>
          <w:sz w:val="16"/>
          <w:szCs w:val="18"/>
          <w:lang w:val="en-AU"/>
        </w:rPr>
        <w:t>Souces: ABARES Stats for Australian IFP Exports 2018 “19011000” and New Zealand MPI Stats for New Zealand Exports – Tarriff Code HS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0E8C0AA6" w:rsidR="00274772" w:rsidRDefault="0027477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588B"/>
    <w:multiLevelType w:val="hybridMultilevel"/>
    <w:tmpl w:val="0720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16026"/>
    <w:multiLevelType w:val="hybridMultilevel"/>
    <w:tmpl w:val="BB5C38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A67DB7"/>
    <w:multiLevelType w:val="hybridMultilevel"/>
    <w:tmpl w:val="752A4FA0"/>
    <w:lvl w:ilvl="0" w:tplc="D27090C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86F06"/>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CDD3D2E"/>
    <w:multiLevelType w:val="hybridMultilevel"/>
    <w:tmpl w:val="BB006560"/>
    <w:lvl w:ilvl="0" w:tplc="E6EA4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11177"/>
    <w:multiLevelType w:val="hybridMultilevel"/>
    <w:tmpl w:val="BEE4EB14"/>
    <w:lvl w:ilvl="0" w:tplc="F586B2B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82D244D"/>
    <w:multiLevelType w:val="hybridMultilevel"/>
    <w:tmpl w:val="885A6906"/>
    <w:lvl w:ilvl="0" w:tplc="E6EA4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9A75A53"/>
    <w:multiLevelType w:val="hybridMultilevel"/>
    <w:tmpl w:val="D79ADD68"/>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25FC0"/>
    <w:multiLevelType w:val="hybridMultilevel"/>
    <w:tmpl w:val="0C60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15771"/>
    <w:multiLevelType w:val="hybridMultilevel"/>
    <w:tmpl w:val="1AAEF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41CC2"/>
    <w:multiLevelType w:val="hybridMultilevel"/>
    <w:tmpl w:val="F1807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5BAB"/>
    <w:multiLevelType w:val="hybridMultilevel"/>
    <w:tmpl w:val="277AE6CC"/>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142AFC"/>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26627"/>
    <w:multiLevelType w:val="hybridMultilevel"/>
    <w:tmpl w:val="7780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31437BC"/>
    <w:multiLevelType w:val="hybridMultilevel"/>
    <w:tmpl w:val="EEC20A82"/>
    <w:lvl w:ilvl="0" w:tplc="D27090C2">
      <w:start w:val="1"/>
      <w:numFmt w:val="lowerLetter"/>
      <w:lvlText w:val="(%1)"/>
      <w:lvlJc w:val="left"/>
      <w:pPr>
        <w:ind w:left="721" w:hanging="360"/>
      </w:pPr>
      <w:rPr>
        <w:rFonts w:hint="default"/>
      </w:rPr>
    </w:lvl>
    <w:lvl w:ilvl="1" w:tplc="08090019">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9" w15:restartNumberingAfterBreak="0">
    <w:nsid w:val="33D65CC6"/>
    <w:multiLevelType w:val="hybridMultilevel"/>
    <w:tmpl w:val="B67E8CE4"/>
    <w:lvl w:ilvl="0" w:tplc="E6EA46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605E47"/>
    <w:multiLevelType w:val="hybridMultilevel"/>
    <w:tmpl w:val="0B6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4A29EB"/>
    <w:multiLevelType w:val="hybridMultilevel"/>
    <w:tmpl w:val="6634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C4C74"/>
    <w:multiLevelType w:val="hybridMultilevel"/>
    <w:tmpl w:val="A620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C2682"/>
    <w:multiLevelType w:val="hybridMultilevel"/>
    <w:tmpl w:val="AD5C28CE"/>
    <w:lvl w:ilvl="0" w:tplc="B7D283EE">
      <w:start w:val="1"/>
      <w:numFmt w:val="low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A617660"/>
    <w:multiLevelType w:val="hybridMultilevel"/>
    <w:tmpl w:val="29C8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D56247"/>
    <w:multiLevelType w:val="hybridMultilevel"/>
    <w:tmpl w:val="2F1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127E98"/>
    <w:multiLevelType w:val="hybridMultilevel"/>
    <w:tmpl w:val="4198F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D96D99"/>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01E1CB0"/>
    <w:multiLevelType w:val="hybridMultilevel"/>
    <w:tmpl w:val="9710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D6776"/>
    <w:multiLevelType w:val="hybridMultilevel"/>
    <w:tmpl w:val="FDF8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658143E8"/>
    <w:multiLevelType w:val="hybridMultilevel"/>
    <w:tmpl w:val="CF64D2D0"/>
    <w:lvl w:ilvl="0" w:tplc="AB8224B2">
      <w:start w:val="1"/>
      <w:numFmt w:val="lowerRoman"/>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E76625"/>
    <w:multiLevelType w:val="hybridMultilevel"/>
    <w:tmpl w:val="C2C45FD2"/>
    <w:lvl w:ilvl="0" w:tplc="DB2230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F717A5"/>
    <w:multiLevelType w:val="hybridMultilevel"/>
    <w:tmpl w:val="8706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48408B"/>
    <w:multiLevelType w:val="hybridMultilevel"/>
    <w:tmpl w:val="46E2A476"/>
    <w:lvl w:ilvl="0" w:tplc="E6EA46B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03EF9"/>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9" w15:restartNumberingAfterBreak="0">
    <w:nsid w:val="775B2938"/>
    <w:multiLevelType w:val="hybridMultilevel"/>
    <w:tmpl w:val="EDEA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7"/>
  </w:num>
  <w:num w:numId="5">
    <w:abstractNumId w:val="0"/>
  </w:num>
  <w:num w:numId="6">
    <w:abstractNumId w:val="12"/>
  </w:num>
  <w:num w:numId="7">
    <w:abstractNumId w:val="9"/>
  </w:num>
  <w:num w:numId="8">
    <w:abstractNumId w:val="8"/>
  </w:num>
  <w:num w:numId="9">
    <w:abstractNumId w:val="34"/>
  </w:num>
  <w:num w:numId="10">
    <w:abstractNumId w:val="23"/>
  </w:num>
  <w:num w:numId="11">
    <w:abstractNumId w:val="28"/>
  </w:num>
  <w:num w:numId="12">
    <w:abstractNumId w:val="13"/>
  </w:num>
  <w:num w:numId="13">
    <w:abstractNumId w:val="24"/>
  </w:num>
  <w:num w:numId="14">
    <w:abstractNumId w:val="10"/>
  </w:num>
  <w:num w:numId="15">
    <w:abstractNumId w:val="32"/>
  </w:num>
  <w:num w:numId="16">
    <w:abstractNumId w:val="18"/>
  </w:num>
  <w:num w:numId="17">
    <w:abstractNumId w:val="3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11"/>
  </w:num>
  <w:num w:numId="23">
    <w:abstractNumId w:val="36"/>
  </w:num>
  <w:num w:numId="24">
    <w:abstractNumId w:val="31"/>
  </w:num>
  <w:num w:numId="25">
    <w:abstractNumId w:val="16"/>
  </w:num>
  <w:num w:numId="26">
    <w:abstractNumId w:val="26"/>
  </w:num>
  <w:num w:numId="27">
    <w:abstractNumId w:val="38"/>
  </w:num>
  <w:num w:numId="28">
    <w:abstractNumId w:val="1"/>
  </w:num>
  <w:num w:numId="29">
    <w:abstractNumId w:val="4"/>
  </w:num>
  <w:num w:numId="30">
    <w:abstractNumId w:val="7"/>
  </w:num>
  <w:num w:numId="31">
    <w:abstractNumId w:val="19"/>
  </w:num>
  <w:num w:numId="32">
    <w:abstractNumId w:val="5"/>
  </w:num>
  <w:num w:numId="33">
    <w:abstractNumId w:val="20"/>
  </w:num>
  <w:num w:numId="34">
    <w:abstractNumId w:val="39"/>
  </w:num>
  <w:num w:numId="35">
    <w:abstractNumId w:val="27"/>
  </w:num>
  <w:num w:numId="36">
    <w:abstractNumId w:val="35"/>
  </w:num>
  <w:num w:numId="37">
    <w:abstractNumId w:val="21"/>
  </w:num>
  <w:num w:numId="38">
    <w:abstractNumId w:val="30"/>
  </w:num>
  <w:num w:numId="39">
    <w:abstractNumId w:val="37"/>
  </w:num>
  <w:num w:numId="40">
    <w:abstractNumId w:val="25"/>
  </w:num>
  <w:num w:numId="41">
    <w:abstractNumId w:val="3"/>
  </w:num>
  <w:num w:numId="4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914"/>
    <w:rsid w:val="000009F1"/>
    <w:rsid w:val="00001766"/>
    <w:rsid w:val="0000247B"/>
    <w:rsid w:val="0000469B"/>
    <w:rsid w:val="000064B2"/>
    <w:rsid w:val="00010E79"/>
    <w:rsid w:val="00011187"/>
    <w:rsid w:val="000141C8"/>
    <w:rsid w:val="00014E34"/>
    <w:rsid w:val="000153B8"/>
    <w:rsid w:val="000209F3"/>
    <w:rsid w:val="00021623"/>
    <w:rsid w:val="00030F69"/>
    <w:rsid w:val="00032093"/>
    <w:rsid w:val="0003325C"/>
    <w:rsid w:val="000332AE"/>
    <w:rsid w:val="00035F7D"/>
    <w:rsid w:val="00035FF3"/>
    <w:rsid w:val="000418F0"/>
    <w:rsid w:val="000423A3"/>
    <w:rsid w:val="00045D90"/>
    <w:rsid w:val="00051021"/>
    <w:rsid w:val="0005222D"/>
    <w:rsid w:val="000524F0"/>
    <w:rsid w:val="00052D54"/>
    <w:rsid w:val="00053E84"/>
    <w:rsid w:val="0005642E"/>
    <w:rsid w:val="00056646"/>
    <w:rsid w:val="000576EB"/>
    <w:rsid w:val="00064B2D"/>
    <w:rsid w:val="00065F1F"/>
    <w:rsid w:val="000726DD"/>
    <w:rsid w:val="00072704"/>
    <w:rsid w:val="0007561C"/>
    <w:rsid w:val="00076D33"/>
    <w:rsid w:val="00076D3B"/>
    <w:rsid w:val="00077859"/>
    <w:rsid w:val="00077AEA"/>
    <w:rsid w:val="00077C83"/>
    <w:rsid w:val="00081B0A"/>
    <w:rsid w:val="0008366D"/>
    <w:rsid w:val="00083FEB"/>
    <w:rsid w:val="0008618B"/>
    <w:rsid w:val="00087B4C"/>
    <w:rsid w:val="000934CE"/>
    <w:rsid w:val="0009487A"/>
    <w:rsid w:val="0009607A"/>
    <w:rsid w:val="00096689"/>
    <w:rsid w:val="00096F57"/>
    <w:rsid w:val="000A0E8D"/>
    <w:rsid w:val="000A3D8B"/>
    <w:rsid w:val="000A4202"/>
    <w:rsid w:val="000A6AAD"/>
    <w:rsid w:val="000B427A"/>
    <w:rsid w:val="000B680D"/>
    <w:rsid w:val="000B68E9"/>
    <w:rsid w:val="000B6AF2"/>
    <w:rsid w:val="000B74E8"/>
    <w:rsid w:val="000C0DD1"/>
    <w:rsid w:val="000C2EAB"/>
    <w:rsid w:val="000D02A2"/>
    <w:rsid w:val="000D1DE4"/>
    <w:rsid w:val="000D5D44"/>
    <w:rsid w:val="000D6C1F"/>
    <w:rsid w:val="000D6FD4"/>
    <w:rsid w:val="000D790F"/>
    <w:rsid w:val="000D7B1C"/>
    <w:rsid w:val="000E0AE4"/>
    <w:rsid w:val="000E1758"/>
    <w:rsid w:val="000E1EA4"/>
    <w:rsid w:val="000E3DBC"/>
    <w:rsid w:val="000E662F"/>
    <w:rsid w:val="000F069B"/>
    <w:rsid w:val="000F0BE2"/>
    <w:rsid w:val="000F3CFE"/>
    <w:rsid w:val="000F4577"/>
    <w:rsid w:val="000F6568"/>
    <w:rsid w:val="00101703"/>
    <w:rsid w:val="00102819"/>
    <w:rsid w:val="001037B6"/>
    <w:rsid w:val="00103F09"/>
    <w:rsid w:val="00103F60"/>
    <w:rsid w:val="001044DD"/>
    <w:rsid w:val="00104544"/>
    <w:rsid w:val="001048EB"/>
    <w:rsid w:val="0010778D"/>
    <w:rsid w:val="00110188"/>
    <w:rsid w:val="001122EC"/>
    <w:rsid w:val="00114AB4"/>
    <w:rsid w:val="00117AFD"/>
    <w:rsid w:val="00120705"/>
    <w:rsid w:val="0012388D"/>
    <w:rsid w:val="0012697B"/>
    <w:rsid w:val="001314CC"/>
    <w:rsid w:val="00136B57"/>
    <w:rsid w:val="001420F8"/>
    <w:rsid w:val="00150B54"/>
    <w:rsid w:val="0015187A"/>
    <w:rsid w:val="001563C6"/>
    <w:rsid w:val="00157291"/>
    <w:rsid w:val="001573CE"/>
    <w:rsid w:val="0016621D"/>
    <w:rsid w:val="00167A3F"/>
    <w:rsid w:val="00170DD4"/>
    <w:rsid w:val="00172AB4"/>
    <w:rsid w:val="00172C55"/>
    <w:rsid w:val="00174FA6"/>
    <w:rsid w:val="001756D8"/>
    <w:rsid w:val="00182C4C"/>
    <w:rsid w:val="00186AF4"/>
    <w:rsid w:val="001878C5"/>
    <w:rsid w:val="00187F02"/>
    <w:rsid w:val="0019399D"/>
    <w:rsid w:val="00193A7F"/>
    <w:rsid w:val="0019553E"/>
    <w:rsid w:val="00196FA4"/>
    <w:rsid w:val="00197D8D"/>
    <w:rsid w:val="001A1738"/>
    <w:rsid w:val="001A1A75"/>
    <w:rsid w:val="001A20EA"/>
    <w:rsid w:val="001A2E0E"/>
    <w:rsid w:val="001A7E9A"/>
    <w:rsid w:val="001B149F"/>
    <w:rsid w:val="001B3E7D"/>
    <w:rsid w:val="001B4812"/>
    <w:rsid w:val="001C016A"/>
    <w:rsid w:val="001C2554"/>
    <w:rsid w:val="001C27A3"/>
    <w:rsid w:val="001C7F96"/>
    <w:rsid w:val="001D43F6"/>
    <w:rsid w:val="001E09FA"/>
    <w:rsid w:val="001E0CE7"/>
    <w:rsid w:val="001E0FF1"/>
    <w:rsid w:val="001E3ADB"/>
    <w:rsid w:val="001E51B7"/>
    <w:rsid w:val="001E5FD5"/>
    <w:rsid w:val="001F4585"/>
    <w:rsid w:val="001F7F63"/>
    <w:rsid w:val="00202A6F"/>
    <w:rsid w:val="0020582A"/>
    <w:rsid w:val="00214708"/>
    <w:rsid w:val="00214AF0"/>
    <w:rsid w:val="00214B30"/>
    <w:rsid w:val="00215C84"/>
    <w:rsid w:val="00216EAE"/>
    <w:rsid w:val="0022197C"/>
    <w:rsid w:val="00221D07"/>
    <w:rsid w:val="00224E3B"/>
    <w:rsid w:val="002260E4"/>
    <w:rsid w:val="00227E4A"/>
    <w:rsid w:val="002403E4"/>
    <w:rsid w:val="002421C1"/>
    <w:rsid w:val="00242765"/>
    <w:rsid w:val="00242AA8"/>
    <w:rsid w:val="0024469B"/>
    <w:rsid w:val="00246EBF"/>
    <w:rsid w:val="00247BD8"/>
    <w:rsid w:val="00250197"/>
    <w:rsid w:val="00252A09"/>
    <w:rsid w:val="002604EE"/>
    <w:rsid w:val="0026387E"/>
    <w:rsid w:val="00264B27"/>
    <w:rsid w:val="00272730"/>
    <w:rsid w:val="00274772"/>
    <w:rsid w:val="002758A0"/>
    <w:rsid w:val="00280D17"/>
    <w:rsid w:val="0029204E"/>
    <w:rsid w:val="00292B9B"/>
    <w:rsid w:val="00293209"/>
    <w:rsid w:val="002959AD"/>
    <w:rsid w:val="00296B55"/>
    <w:rsid w:val="002A0194"/>
    <w:rsid w:val="002A0718"/>
    <w:rsid w:val="002A2136"/>
    <w:rsid w:val="002A2334"/>
    <w:rsid w:val="002A5F8B"/>
    <w:rsid w:val="002A7E9B"/>
    <w:rsid w:val="002A7F6C"/>
    <w:rsid w:val="002B0071"/>
    <w:rsid w:val="002B1D6F"/>
    <w:rsid w:val="002B254B"/>
    <w:rsid w:val="002B3C3C"/>
    <w:rsid w:val="002C1A3B"/>
    <w:rsid w:val="002C35CA"/>
    <w:rsid w:val="002C7068"/>
    <w:rsid w:val="002D3E6F"/>
    <w:rsid w:val="002D5E70"/>
    <w:rsid w:val="002E0C5D"/>
    <w:rsid w:val="002E16D5"/>
    <w:rsid w:val="002E1820"/>
    <w:rsid w:val="002F0782"/>
    <w:rsid w:val="002F2871"/>
    <w:rsid w:val="002F35EA"/>
    <w:rsid w:val="002F6488"/>
    <w:rsid w:val="0030005C"/>
    <w:rsid w:val="00304992"/>
    <w:rsid w:val="00305C54"/>
    <w:rsid w:val="00306BD8"/>
    <w:rsid w:val="0031016C"/>
    <w:rsid w:val="0031135E"/>
    <w:rsid w:val="00311807"/>
    <w:rsid w:val="0031426B"/>
    <w:rsid w:val="00314913"/>
    <w:rsid w:val="00315B8B"/>
    <w:rsid w:val="003213F9"/>
    <w:rsid w:val="0032248F"/>
    <w:rsid w:val="00323AB6"/>
    <w:rsid w:val="00323DBF"/>
    <w:rsid w:val="003258E9"/>
    <w:rsid w:val="00327867"/>
    <w:rsid w:val="00330841"/>
    <w:rsid w:val="00330904"/>
    <w:rsid w:val="00332463"/>
    <w:rsid w:val="00332B12"/>
    <w:rsid w:val="00337CBC"/>
    <w:rsid w:val="00341199"/>
    <w:rsid w:val="003418FA"/>
    <w:rsid w:val="003428FC"/>
    <w:rsid w:val="003434DB"/>
    <w:rsid w:val="00346622"/>
    <w:rsid w:val="003507DB"/>
    <w:rsid w:val="00351B07"/>
    <w:rsid w:val="003521C8"/>
    <w:rsid w:val="00362940"/>
    <w:rsid w:val="0036533D"/>
    <w:rsid w:val="00371B29"/>
    <w:rsid w:val="00374C1A"/>
    <w:rsid w:val="003766F8"/>
    <w:rsid w:val="00377882"/>
    <w:rsid w:val="00377E37"/>
    <w:rsid w:val="00380106"/>
    <w:rsid w:val="00380935"/>
    <w:rsid w:val="003814F0"/>
    <w:rsid w:val="00381E07"/>
    <w:rsid w:val="00382FBC"/>
    <w:rsid w:val="00384A4D"/>
    <w:rsid w:val="00385788"/>
    <w:rsid w:val="003906C9"/>
    <w:rsid w:val="00391555"/>
    <w:rsid w:val="00391769"/>
    <w:rsid w:val="003953E1"/>
    <w:rsid w:val="003956B3"/>
    <w:rsid w:val="003A0A4D"/>
    <w:rsid w:val="003A0A55"/>
    <w:rsid w:val="003A1C2F"/>
    <w:rsid w:val="003A3D30"/>
    <w:rsid w:val="003A6698"/>
    <w:rsid w:val="003A68BE"/>
    <w:rsid w:val="003A6E4E"/>
    <w:rsid w:val="003A7B84"/>
    <w:rsid w:val="003B0735"/>
    <w:rsid w:val="003B7825"/>
    <w:rsid w:val="003C1382"/>
    <w:rsid w:val="003C170F"/>
    <w:rsid w:val="003C4969"/>
    <w:rsid w:val="003D273E"/>
    <w:rsid w:val="003D2CDC"/>
    <w:rsid w:val="003E21C9"/>
    <w:rsid w:val="003E41D5"/>
    <w:rsid w:val="003E46BA"/>
    <w:rsid w:val="003F3E04"/>
    <w:rsid w:val="003F74C1"/>
    <w:rsid w:val="00400708"/>
    <w:rsid w:val="00401ADE"/>
    <w:rsid w:val="00403A64"/>
    <w:rsid w:val="00404152"/>
    <w:rsid w:val="00405B1A"/>
    <w:rsid w:val="004066E7"/>
    <w:rsid w:val="004075FD"/>
    <w:rsid w:val="00410A48"/>
    <w:rsid w:val="00410C76"/>
    <w:rsid w:val="00411907"/>
    <w:rsid w:val="00412CF0"/>
    <w:rsid w:val="00412F04"/>
    <w:rsid w:val="00417EE3"/>
    <w:rsid w:val="004207EB"/>
    <w:rsid w:val="00421730"/>
    <w:rsid w:val="00422EC9"/>
    <w:rsid w:val="00423AC7"/>
    <w:rsid w:val="00424FE6"/>
    <w:rsid w:val="00427041"/>
    <w:rsid w:val="004276F5"/>
    <w:rsid w:val="0042782B"/>
    <w:rsid w:val="0043054E"/>
    <w:rsid w:val="00430769"/>
    <w:rsid w:val="00430E5A"/>
    <w:rsid w:val="00430F36"/>
    <w:rsid w:val="00432A42"/>
    <w:rsid w:val="00434C8B"/>
    <w:rsid w:val="00437276"/>
    <w:rsid w:val="00444FAF"/>
    <w:rsid w:val="00446EB5"/>
    <w:rsid w:val="004510F6"/>
    <w:rsid w:val="00453646"/>
    <w:rsid w:val="0045669E"/>
    <w:rsid w:val="00456B54"/>
    <w:rsid w:val="00456BD5"/>
    <w:rsid w:val="00462771"/>
    <w:rsid w:val="00464643"/>
    <w:rsid w:val="004666A1"/>
    <w:rsid w:val="00466A97"/>
    <w:rsid w:val="004701A5"/>
    <w:rsid w:val="004766DA"/>
    <w:rsid w:val="004769D1"/>
    <w:rsid w:val="0048317E"/>
    <w:rsid w:val="00484245"/>
    <w:rsid w:val="00486793"/>
    <w:rsid w:val="00486C66"/>
    <w:rsid w:val="0048705F"/>
    <w:rsid w:val="00490B4D"/>
    <w:rsid w:val="00494A3F"/>
    <w:rsid w:val="004A2037"/>
    <w:rsid w:val="004A64CF"/>
    <w:rsid w:val="004A793C"/>
    <w:rsid w:val="004B047B"/>
    <w:rsid w:val="004B2FD0"/>
    <w:rsid w:val="004B4CDC"/>
    <w:rsid w:val="004B6BA8"/>
    <w:rsid w:val="004C003D"/>
    <w:rsid w:val="004C1E4C"/>
    <w:rsid w:val="004C1EFD"/>
    <w:rsid w:val="004C4626"/>
    <w:rsid w:val="004D121E"/>
    <w:rsid w:val="004D1B1C"/>
    <w:rsid w:val="004E346D"/>
    <w:rsid w:val="004F1766"/>
    <w:rsid w:val="004F3DFB"/>
    <w:rsid w:val="004F4F98"/>
    <w:rsid w:val="004F519E"/>
    <w:rsid w:val="004F5755"/>
    <w:rsid w:val="004F69F6"/>
    <w:rsid w:val="004F79AC"/>
    <w:rsid w:val="0050433D"/>
    <w:rsid w:val="00506E9B"/>
    <w:rsid w:val="00510B7A"/>
    <w:rsid w:val="005113A0"/>
    <w:rsid w:val="00515E5B"/>
    <w:rsid w:val="005207D8"/>
    <w:rsid w:val="00523930"/>
    <w:rsid w:val="005244F1"/>
    <w:rsid w:val="00525168"/>
    <w:rsid w:val="00536EE6"/>
    <w:rsid w:val="00537CDC"/>
    <w:rsid w:val="005400CB"/>
    <w:rsid w:val="005435F6"/>
    <w:rsid w:val="00545AFF"/>
    <w:rsid w:val="0054767B"/>
    <w:rsid w:val="00550CC7"/>
    <w:rsid w:val="00560185"/>
    <w:rsid w:val="00562917"/>
    <w:rsid w:val="00571888"/>
    <w:rsid w:val="00571B8C"/>
    <w:rsid w:val="00575A95"/>
    <w:rsid w:val="00576F73"/>
    <w:rsid w:val="00576FBC"/>
    <w:rsid w:val="00580DDF"/>
    <w:rsid w:val="005811B7"/>
    <w:rsid w:val="0058423E"/>
    <w:rsid w:val="00586228"/>
    <w:rsid w:val="005865FF"/>
    <w:rsid w:val="00586E67"/>
    <w:rsid w:val="005935ED"/>
    <w:rsid w:val="005946D3"/>
    <w:rsid w:val="00594911"/>
    <w:rsid w:val="00596567"/>
    <w:rsid w:val="00597631"/>
    <w:rsid w:val="005A4202"/>
    <w:rsid w:val="005A572E"/>
    <w:rsid w:val="005B03B2"/>
    <w:rsid w:val="005B084E"/>
    <w:rsid w:val="005B6AF4"/>
    <w:rsid w:val="005C04CB"/>
    <w:rsid w:val="005C28F3"/>
    <w:rsid w:val="005C2D39"/>
    <w:rsid w:val="005D0EEA"/>
    <w:rsid w:val="005D16AD"/>
    <w:rsid w:val="005D2016"/>
    <w:rsid w:val="005D2C88"/>
    <w:rsid w:val="005D72E1"/>
    <w:rsid w:val="005E06C0"/>
    <w:rsid w:val="005E1545"/>
    <w:rsid w:val="005E58D3"/>
    <w:rsid w:val="005E6E16"/>
    <w:rsid w:val="005F0A5D"/>
    <w:rsid w:val="005F1E79"/>
    <w:rsid w:val="005F2A8C"/>
    <w:rsid w:val="005F400E"/>
    <w:rsid w:val="005F7342"/>
    <w:rsid w:val="006018AA"/>
    <w:rsid w:val="00602B3B"/>
    <w:rsid w:val="00605881"/>
    <w:rsid w:val="006078EC"/>
    <w:rsid w:val="00610A3C"/>
    <w:rsid w:val="006127C5"/>
    <w:rsid w:val="006138D7"/>
    <w:rsid w:val="00615108"/>
    <w:rsid w:val="00615E83"/>
    <w:rsid w:val="00616017"/>
    <w:rsid w:val="00617895"/>
    <w:rsid w:val="006265C7"/>
    <w:rsid w:val="00627F48"/>
    <w:rsid w:val="0063455F"/>
    <w:rsid w:val="00635814"/>
    <w:rsid w:val="006376A6"/>
    <w:rsid w:val="00650928"/>
    <w:rsid w:val="00651AF4"/>
    <w:rsid w:val="006542DE"/>
    <w:rsid w:val="00656149"/>
    <w:rsid w:val="00663FCF"/>
    <w:rsid w:val="00664C94"/>
    <w:rsid w:val="006652A2"/>
    <w:rsid w:val="006665B5"/>
    <w:rsid w:val="00671FDD"/>
    <w:rsid w:val="006720A8"/>
    <w:rsid w:val="00677E68"/>
    <w:rsid w:val="00683071"/>
    <w:rsid w:val="00692490"/>
    <w:rsid w:val="00692C0D"/>
    <w:rsid w:val="00694119"/>
    <w:rsid w:val="006969CC"/>
    <w:rsid w:val="00696A15"/>
    <w:rsid w:val="006A48A7"/>
    <w:rsid w:val="006A5D40"/>
    <w:rsid w:val="006B1C9E"/>
    <w:rsid w:val="006B1D57"/>
    <w:rsid w:val="006B2EA1"/>
    <w:rsid w:val="006B4F47"/>
    <w:rsid w:val="006B5767"/>
    <w:rsid w:val="006B74B5"/>
    <w:rsid w:val="006C1002"/>
    <w:rsid w:val="006C116D"/>
    <w:rsid w:val="006C22A7"/>
    <w:rsid w:val="006C4C07"/>
    <w:rsid w:val="006C5CF5"/>
    <w:rsid w:val="006C6A6B"/>
    <w:rsid w:val="006D18E9"/>
    <w:rsid w:val="006D2D6F"/>
    <w:rsid w:val="006D2DC0"/>
    <w:rsid w:val="006D33FF"/>
    <w:rsid w:val="006D6386"/>
    <w:rsid w:val="006E0911"/>
    <w:rsid w:val="006E10A1"/>
    <w:rsid w:val="006F0646"/>
    <w:rsid w:val="006F4A82"/>
    <w:rsid w:val="00700B2F"/>
    <w:rsid w:val="00701BC6"/>
    <w:rsid w:val="00702164"/>
    <w:rsid w:val="00703E37"/>
    <w:rsid w:val="0070460F"/>
    <w:rsid w:val="00706408"/>
    <w:rsid w:val="00710C37"/>
    <w:rsid w:val="00710F56"/>
    <w:rsid w:val="0071107C"/>
    <w:rsid w:val="007155E2"/>
    <w:rsid w:val="00721E6E"/>
    <w:rsid w:val="00724FA4"/>
    <w:rsid w:val="00727A78"/>
    <w:rsid w:val="00730052"/>
    <w:rsid w:val="00730800"/>
    <w:rsid w:val="0073080B"/>
    <w:rsid w:val="0073504E"/>
    <w:rsid w:val="00735C2A"/>
    <w:rsid w:val="00737B9C"/>
    <w:rsid w:val="00741A43"/>
    <w:rsid w:val="0074216C"/>
    <w:rsid w:val="00751454"/>
    <w:rsid w:val="007518C6"/>
    <w:rsid w:val="00755F02"/>
    <w:rsid w:val="0075603C"/>
    <w:rsid w:val="007602AA"/>
    <w:rsid w:val="00761080"/>
    <w:rsid w:val="007652EF"/>
    <w:rsid w:val="00765DE1"/>
    <w:rsid w:val="007671E1"/>
    <w:rsid w:val="007706A1"/>
    <w:rsid w:val="0077298E"/>
    <w:rsid w:val="00772BDC"/>
    <w:rsid w:val="00772F65"/>
    <w:rsid w:val="007749EC"/>
    <w:rsid w:val="00775DC3"/>
    <w:rsid w:val="00777437"/>
    <w:rsid w:val="007776B4"/>
    <w:rsid w:val="00780792"/>
    <w:rsid w:val="007819A3"/>
    <w:rsid w:val="0078309E"/>
    <w:rsid w:val="00783435"/>
    <w:rsid w:val="00790C73"/>
    <w:rsid w:val="00790CBA"/>
    <w:rsid w:val="00792FF6"/>
    <w:rsid w:val="0079475B"/>
    <w:rsid w:val="00795D86"/>
    <w:rsid w:val="007977F2"/>
    <w:rsid w:val="00797AA0"/>
    <w:rsid w:val="00797E95"/>
    <w:rsid w:val="007A0C5A"/>
    <w:rsid w:val="007A40C5"/>
    <w:rsid w:val="007A44B4"/>
    <w:rsid w:val="007A53BF"/>
    <w:rsid w:val="007A7D3D"/>
    <w:rsid w:val="007B092A"/>
    <w:rsid w:val="007B225D"/>
    <w:rsid w:val="007B37B3"/>
    <w:rsid w:val="007B4D94"/>
    <w:rsid w:val="007C1C64"/>
    <w:rsid w:val="007C2272"/>
    <w:rsid w:val="007C22CB"/>
    <w:rsid w:val="007D0189"/>
    <w:rsid w:val="007D231D"/>
    <w:rsid w:val="007D52AE"/>
    <w:rsid w:val="007D59D3"/>
    <w:rsid w:val="007E48BC"/>
    <w:rsid w:val="007E5E40"/>
    <w:rsid w:val="007E79F7"/>
    <w:rsid w:val="007F0390"/>
    <w:rsid w:val="007F3630"/>
    <w:rsid w:val="007F6CC9"/>
    <w:rsid w:val="007F7BF7"/>
    <w:rsid w:val="00807559"/>
    <w:rsid w:val="008107F6"/>
    <w:rsid w:val="00813464"/>
    <w:rsid w:val="0081445C"/>
    <w:rsid w:val="0081587D"/>
    <w:rsid w:val="008163FD"/>
    <w:rsid w:val="00820685"/>
    <w:rsid w:val="00821ACD"/>
    <w:rsid w:val="00823EF6"/>
    <w:rsid w:val="008274D5"/>
    <w:rsid w:val="00827BDA"/>
    <w:rsid w:val="00831154"/>
    <w:rsid w:val="008378F2"/>
    <w:rsid w:val="008450BC"/>
    <w:rsid w:val="00847066"/>
    <w:rsid w:val="00850B09"/>
    <w:rsid w:val="00851C3E"/>
    <w:rsid w:val="00852BC2"/>
    <w:rsid w:val="0085334B"/>
    <w:rsid w:val="008537BA"/>
    <w:rsid w:val="0085640E"/>
    <w:rsid w:val="00856668"/>
    <w:rsid w:val="00856712"/>
    <w:rsid w:val="00860808"/>
    <w:rsid w:val="00860839"/>
    <w:rsid w:val="00861C13"/>
    <w:rsid w:val="00861FA8"/>
    <w:rsid w:val="00862349"/>
    <w:rsid w:val="00862BF3"/>
    <w:rsid w:val="0086571E"/>
    <w:rsid w:val="00870129"/>
    <w:rsid w:val="00870214"/>
    <w:rsid w:val="008708ED"/>
    <w:rsid w:val="00871116"/>
    <w:rsid w:val="00872B32"/>
    <w:rsid w:val="0087567A"/>
    <w:rsid w:val="00875EF5"/>
    <w:rsid w:val="0087737D"/>
    <w:rsid w:val="00877592"/>
    <w:rsid w:val="00884A62"/>
    <w:rsid w:val="00885C51"/>
    <w:rsid w:val="00891AF3"/>
    <w:rsid w:val="00893544"/>
    <w:rsid w:val="0089681E"/>
    <w:rsid w:val="00896B85"/>
    <w:rsid w:val="008A243D"/>
    <w:rsid w:val="008A328A"/>
    <w:rsid w:val="008A46AA"/>
    <w:rsid w:val="008A5AFD"/>
    <w:rsid w:val="008A70B6"/>
    <w:rsid w:val="008A70D2"/>
    <w:rsid w:val="008B1875"/>
    <w:rsid w:val="008C1421"/>
    <w:rsid w:val="008C4584"/>
    <w:rsid w:val="008C4E76"/>
    <w:rsid w:val="008D0608"/>
    <w:rsid w:val="008D06C6"/>
    <w:rsid w:val="008D11E4"/>
    <w:rsid w:val="008D3B75"/>
    <w:rsid w:val="008D5E9D"/>
    <w:rsid w:val="008D6A64"/>
    <w:rsid w:val="008E190A"/>
    <w:rsid w:val="008E5314"/>
    <w:rsid w:val="008E6250"/>
    <w:rsid w:val="008E702C"/>
    <w:rsid w:val="008F3A36"/>
    <w:rsid w:val="008F732F"/>
    <w:rsid w:val="008F78B6"/>
    <w:rsid w:val="00914CFD"/>
    <w:rsid w:val="00915373"/>
    <w:rsid w:val="00917C6F"/>
    <w:rsid w:val="00920249"/>
    <w:rsid w:val="00920587"/>
    <w:rsid w:val="00920E3B"/>
    <w:rsid w:val="00923D3A"/>
    <w:rsid w:val="00924E96"/>
    <w:rsid w:val="00926C91"/>
    <w:rsid w:val="00932F14"/>
    <w:rsid w:val="0094247F"/>
    <w:rsid w:val="00942D60"/>
    <w:rsid w:val="00942E7F"/>
    <w:rsid w:val="0094358A"/>
    <w:rsid w:val="009460FA"/>
    <w:rsid w:val="00947534"/>
    <w:rsid w:val="009478A1"/>
    <w:rsid w:val="00951B00"/>
    <w:rsid w:val="009531DC"/>
    <w:rsid w:val="009538CD"/>
    <w:rsid w:val="00953A4A"/>
    <w:rsid w:val="009548D8"/>
    <w:rsid w:val="00955B6C"/>
    <w:rsid w:val="00956A3A"/>
    <w:rsid w:val="00957371"/>
    <w:rsid w:val="00960890"/>
    <w:rsid w:val="0096523B"/>
    <w:rsid w:val="00967277"/>
    <w:rsid w:val="00967D80"/>
    <w:rsid w:val="00972D06"/>
    <w:rsid w:val="009856D5"/>
    <w:rsid w:val="009874C0"/>
    <w:rsid w:val="00987B97"/>
    <w:rsid w:val="00992075"/>
    <w:rsid w:val="0099323D"/>
    <w:rsid w:val="009944C5"/>
    <w:rsid w:val="00996145"/>
    <w:rsid w:val="0099623A"/>
    <w:rsid w:val="00996827"/>
    <w:rsid w:val="009A2699"/>
    <w:rsid w:val="009A2DC9"/>
    <w:rsid w:val="009A391C"/>
    <w:rsid w:val="009A478F"/>
    <w:rsid w:val="009A6DB5"/>
    <w:rsid w:val="009B0D32"/>
    <w:rsid w:val="009B4683"/>
    <w:rsid w:val="009B4FB4"/>
    <w:rsid w:val="009B5C12"/>
    <w:rsid w:val="009B5E01"/>
    <w:rsid w:val="009B6DF7"/>
    <w:rsid w:val="009B7475"/>
    <w:rsid w:val="009C1928"/>
    <w:rsid w:val="009E0005"/>
    <w:rsid w:val="009E0A61"/>
    <w:rsid w:val="009E2081"/>
    <w:rsid w:val="009E3010"/>
    <w:rsid w:val="009E46F5"/>
    <w:rsid w:val="009F10E1"/>
    <w:rsid w:val="009F4DC3"/>
    <w:rsid w:val="009F670E"/>
    <w:rsid w:val="009F6D99"/>
    <w:rsid w:val="009F7065"/>
    <w:rsid w:val="009F79AD"/>
    <w:rsid w:val="00A0048C"/>
    <w:rsid w:val="00A04C55"/>
    <w:rsid w:val="00A05C7B"/>
    <w:rsid w:val="00A06F90"/>
    <w:rsid w:val="00A07FBC"/>
    <w:rsid w:val="00A10CEF"/>
    <w:rsid w:val="00A10E1D"/>
    <w:rsid w:val="00A14478"/>
    <w:rsid w:val="00A15804"/>
    <w:rsid w:val="00A21C00"/>
    <w:rsid w:val="00A227BA"/>
    <w:rsid w:val="00A2449C"/>
    <w:rsid w:val="00A25617"/>
    <w:rsid w:val="00A261B8"/>
    <w:rsid w:val="00A27B2E"/>
    <w:rsid w:val="00A318EB"/>
    <w:rsid w:val="00A34981"/>
    <w:rsid w:val="00A34E23"/>
    <w:rsid w:val="00A432B7"/>
    <w:rsid w:val="00A44EA5"/>
    <w:rsid w:val="00A51F8A"/>
    <w:rsid w:val="00A526AF"/>
    <w:rsid w:val="00A52FD4"/>
    <w:rsid w:val="00A551B9"/>
    <w:rsid w:val="00A560AA"/>
    <w:rsid w:val="00A56DA7"/>
    <w:rsid w:val="00A56DC7"/>
    <w:rsid w:val="00A60F71"/>
    <w:rsid w:val="00A64146"/>
    <w:rsid w:val="00A66FDD"/>
    <w:rsid w:val="00A671E6"/>
    <w:rsid w:val="00A709E5"/>
    <w:rsid w:val="00A720BA"/>
    <w:rsid w:val="00A7422F"/>
    <w:rsid w:val="00A74FD1"/>
    <w:rsid w:val="00A84A58"/>
    <w:rsid w:val="00A86D5E"/>
    <w:rsid w:val="00A871F4"/>
    <w:rsid w:val="00A9153A"/>
    <w:rsid w:val="00A9175E"/>
    <w:rsid w:val="00A929A9"/>
    <w:rsid w:val="00A93CB5"/>
    <w:rsid w:val="00A93F92"/>
    <w:rsid w:val="00A96594"/>
    <w:rsid w:val="00A9724F"/>
    <w:rsid w:val="00AA2DFB"/>
    <w:rsid w:val="00AA3269"/>
    <w:rsid w:val="00AA41BA"/>
    <w:rsid w:val="00AA6D0D"/>
    <w:rsid w:val="00AA6FA3"/>
    <w:rsid w:val="00AA7267"/>
    <w:rsid w:val="00AB1519"/>
    <w:rsid w:val="00AB50B2"/>
    <w:rsid w:val="00AB65BE"/>
    <w:rsid w:val="00AC428E"/>
    <w:rsid w:val="00AC5534"/>
    <w:rsid w:val="00AC5DE5"/>
    <w:rsid w:val="00AD344F"/>
    <w:rsid w:val="00AD7619"/>
    <w:rsid w:val="00AD77B5"/>
    <w:rsid w:val="00AE47F3"/>
    <w:rsid w:val="00AE4FFD"/>
    <w:rsid w:val="00AE58BB"/>
    <w:rsid w:val="00AE7CBB"/>
    <w:rsid w:val="00AF24FA"/>
    <w:rsid w:val="00AF321A"/>
    <w:rsid w:val="00AF32F2"/>
    <w:rsid w:val="00AF387F"/>
    <w:rsid w:val="00AF397D"/>
    <w:rsid w:val="00B00E7F"/>
    <w:rsid w:val="00B0148F"/>
    <w:rsid w:val="00B031A5"/>
    <w:rsid w:val="00B05023"/>
    <w:rsid w:val="00B05F7E"/>
    <w:rsid w:val="00B13025"/>
    <w:rsid w:val="00B14ED5"/>
    <w:rsid w:val="00B1505C"/>
    <w:rsid w:val="00B17112"/>
    <w:rsid w:val="00B21055"/>
    <w:rsid w:val="00B21DCC"/>
    <w:rsid w:val="00B239E6"/>
    <w:rsid w:val="00B24963"/>
    <w:rsid w:val="00B25F37"/>
    <w:rsid w:val="00B32919"/>
    <w:rsid w:val="00B3595C"/>
    <w:rsid w:val="00B37158"/>
    <w:rsid w:val="00B408EF"/>
    <w:rsid w:val="00B412A1"/>
    <w:rsid w:val="00B41335"/>
    <w:rsid w:val="00B425AA"/>
    <w:rsid w:val="00B44422"/>
    <w:rsid w:val="00B46EA0"/>
    <w:rsid w:val="00B55714"/>
    <w:rsid w:val="00B55D11"/>
    <w:rsid w:val="00B630A8"/>
    <w:rsid w:val="00B63BBA"/>
    <w:rsid w:val="00B6622C"/>
    <w:rsid w:val="00B67971"/>
    <w:rsid w:val="00B67FD8"/>
    <w:rsid w:val="00B70475"/>
    <w:rsid w:val="00B72101"/>
    <w:rsid w:val="00B731D3"/>
    <w:rsid w:val="00B73445"/>
    <w:rsid w:val="00B756F8"/>
    <w:rsid w:val="00B75B57"/>
    <w:rsid w:val="00B76866"/>
    <w:rsid w:val="00B77C18"/>
    <w:rsid w:val="00B77F2E"/>
    <w:rsid w:val="00B811B3"/>
    <w:rsid w:val="00B81A42"/>
    <w:rsid w:val="00B8209E"/>
    <w:rsid w:val="00B839A3"/>
    <w:rsid w:val="00B902BD"/>
    <w:rsid w:val="00B909CA"/>
    <w:rsid w:val="00B92501"/>
    <w:rsid w:val="00B948EE"/>
    <w:rsid w:val="00B95F6B"/>
    <w:rsid w:val="00B961E5"/>
    <w:rsid w:val="00B96665"/>
    <w:rsid w:val="00BA1009"/>
    <w:rsid w:val="00BA6D1A"/>
    <w:rsid w:val="00BA77C9"/>
    <w:rsid w:val="00BA7D9A"/>
    <w:rsid w:val="00BB0EC9"/>
    <w:rsid w:val="00BB45E9"/>
    <w:rsid w:val="00BB688C"/>
    <w:rsid w:val="00BB7D89"/>
    <w:rsid w:val="00BC039A"/>
    <w:rsid w:val="00BC301D"/>
    <w:rsid w:val="00BD2A39"/>
    <w:rsid w:val="00BD2E80"/>
    <w:rsid w:val="00BD49FF"/>
    <w:rsid w:val="00BD4B64"/>
    <w:rsid w:val="00BD77E1"/>
    <w:rsid w:val="00BE1130"/>
    <w:rsid w:val="00BE11B8"/>
    <w:rsid w:val="00BE1922"/>
    <w:rsid w:val="00BF001D"/>
    <w:rsid w:val="00BF45A3"/>
    <w:rsid w:val="00BF7FF0"/>
    <w:rsid w:val="00C009A7"/>
    <w:rsid w:val="00C058AD"/>
    <w:rsid w:val="00C11AEA"/>
    <w:rsid w:val="00C12502"/>
    <w:rsid w:val="00C17B19"/>
    <w:rsid w:val="00C21E3D"/>
    <w:rsid w:val="00C24193"/>
    <w:rsid w:val="00C24545"/>
    <w:rsid w:val="00C26B3B"/>
    <w:rsid w:val="00C30F23"/>
    <w:rsid w:val="00C31884"/>
    <w:rsid w:val="00C32466"/>
    <w:rsid w:val="00C32814"/>
    <w:rsid w:val="00C32EB0"/>
    <w:rsid w:val="00C33391"/>
    <w:rsid w:val="00C334BC"/>
    <w:rsid w:val="00C34EB5"/>
    <w:rsid w:val="00C35F83"/>
    <w:rsid w:val="00C360E1"/>
    <w:rsid w:val="00C40613"/>
    <w:rsid w:val="00C4065B"/>
    <w:rsid w:val="00C40AA5"/>
    <w:rsid w:val="00C41213"/>
    <w:rsid w:val="00C413C9"/>
    <w:rsid w:val="00C46F70"/>
    <w:rsid w:val="00C476D0"/>
    <w:rsid w:val="00C55E61"/>
    <w:rsid w:val="00C6434A"/>
    <w:rsid w:val="00C64555"/>
    <w:rsid w:val="00C64722"/>
    <w:rsid w:val="00C649D3"/>
    <w:rsid w:val="00C67B14"/>
    <w:rsid w:val="00C74398"/>
    <w:rsid w:val="00C777EF"/>
    <w:rsid w:val="00C82E1D"/>
    <w:rsid w:val="00C830B9"/>
    <w:rsid w:val="00C836E3"/>
    <w:rsid w:val="00C836FF"/>
    <w:rsid w:val="00C854DC"/>
    <w:rsid w:val="00C86577"/>
    <w:rsid w:val="00C91C02"/>
    <w:rsid w:val="00C92E07"/>
    <w:rsid w:val="00C9442B"/>
    <w:rsid w:val="00C96868"/>
    <w:rsid w:val="00C9746D"/>
    <w:rsid w:val="00CA0416"/>
    <w:rsid w:val="00CA06D5"/>
    <w:rsid w:val="00CA1247"/>
    <w:rsid w:val="00CA1370"/>
    <w:rsid w:val="00CA5734"/>
    <w:rsid w:val="00CA73B1"/>
    <w:rsid w:val="00CB0DA3"/>
    <w:rsid w:val="00CB115C"/>
    <w:rsid w:val="00CB18A8"/>
    <w:rsid w:val="00CB2CEC"/>
    <w:rsid w:val="00CB6399"/>
    <w:rsid w:val="00CC3764"/>
    <w:rsid w:val="00CC3A35"/>
    <w:rsid w:val="00CC40D4"/>
    <w:rsid w:val="00CC5468"/>
    <w:rsid w:val="00CC560B"/>
    <w:rsid w:val="00CC75E2"/>
    <w:rsid w:val="00CD086C"/>
    <w:rsid w:val="00CD46EB"/>
    <w:rsid w:val="00CD6502"/>
    <w:rsid w:val="00CD7EBF"/>
    <w:rsid w:val="00CE3AA7"/>
    <w:rsid w:val="00CE494F"/>
    <w:rsid w:val="00CE59AA"/>
    <w:rsid w:val="00CE747D"/>
    <w:rsid w:val="00CF0E86"/>
    <w:rsid w:val="00CF3E61"/>
    <w:rsid w:val="00D00DFA"/>
    <w:rsid w:val="00D0164A"/>
    <w:rsid w:val="00D056F1"/>
    <w:rsid w:val="00D06616"/>
    <w:rsid w:val="00D06673"/>
    <w:rsid w:val="00D1089E"/>
    <w:rsid w:val="00D10C4A"/>
    <w:rsid w:val="00D144D7"/>
    <w:rsid w:val="00D15A08"/>
    <w:rsid w:val="00D23DB6"/>
    <w:rsid w:val="00D2625F"/>
    <w:rsid w:val="00D264B0"/>
    <w:rsid w:val="00D26572"/>
    <w:rsid w:val="00D517D7"/>
    <w:rsid w:val="00D51A95"/>
    <w:rsid w:val="00D53CB6"/>
    <w:rsid w:val="00D53FD7"/>
    <w:rsid w:val="00D56EDC"/>
    <w:rsid w:val="00D6041D"/>
    <w:rsid w:val="00D60568"/>
    <w:rsid w:val="00D70C7A"/>
    <w:rsid w:val="00D72A29"/>
    <w:rsid w:val="00D75482"/>
    <w:rsid w:val="00D834E5"/>
    <w:rsid w:val="00D8442C"/>
    <w:rsid w:val="00D85819"/>
    <w:rsid w:val="00D92628"/>
    <w:rsid w:val="00D967A8"/>
    <w:rsid w:val="00D96988"/>
    <w:rsid w:val="00D96C9C"/>
    <w:rsid w:val="00D97FE9"/>
    <w:rsid w:val="00DA0064"/>
    <w:rsid w:val="00DA0DBB"/>
    <w:rsid w:val="00DA10A8"/>
    <w:rsid w:val="00DA1A63"/>
    <w:rsid w:val="00DA57E0"/>
    <w:rsid w:val="00DB0E58"/>
    <w:rsid w:val="00DB123A"/>
    <w:rsid w:val="00DB1E08"/>
    <w:rsid w:val="00DB2973"/>
    <w:rsid w:val="00DC0FBA"/>
    <w:rsid w:val="00DC196C"/>
    <w:rsid w:val="00DC1B56"/>
    <w:rsid w:val="00DC20CC"/>
    <w:rsid w:val="00DC2129"/>
    <w:rsid w:val="00DC6570"/>
    <w:rsid w:val="00DD0D83"/>
    <w:rsid w:val="00DD265C"/>
    <w:rsid w:val="00DD2916"/>
    <w:rsid w:val="00DD33BF"/>
    <w:rsid w:val="00DD3703"/>
    <w:rsid w:val="00DD38F7"/>
    <w:rsid w:val="00DD6B02"/>
    <w:rsid w:val="00DE13E7"/>
    <w:rsid w:val="00DE5528"/>
    <w:rsid w:val="00DE55BD"/>
    <w:rsid w:val="00DE5CC1"/>
    <w:rsid w:val="00DE70FD"/>
    <w:rsid w:val="00DE7D71"/>
    <w:rsid w:val="00DF1344"/>
    <w:rsid w:val="00DF25C3"/>
    <w:rsid w:val="00DF5CFF"/>
    <w:rsid w:val="00DF72BB"/>
    <w:rsid w:val="00E00DF8"/>
    <w:rsid w:val="00E04062"/>
    <w:rsid w:val="00E043AA"/>
    <w:rsid w:val="00E05B53"/>
    <w:rsid w:val="00E063C6"/>
    <w:rsid w:val="00E109EB"/>
    <w:rsid w:val="00E11EB3"/>
    <w:rsid w:val="00E122BF"/>
    <w:rsid w:val="00E13765"/>
    <w:rsid w:val="00E13D87"/>
    <w:rsid w:val="00E1575A"/>
    <w:rsid w:val="00E16A76"/>
    <w:rsid w:val="00E17545"/>
    <w:rsid w:val="00E2003B"/>
    <w:rsid w:val="00E2032B"/>
    <w:rsid w:val="00E214F5"/>
    <w:rsid w:val="00E21999"/>
    <w:rsid w:val="00E23153"/>
    <w:rsid w:val="00E25A9B"/>
    <w:rsid w:val="00E26887"/>
    <w:rsid w:val="00E279D8"/>
    <w:rsid w:val="00E30092"/>
    <w:rsid w:val="00E307E3"/>
    <w:rsid w:val="00E30F07"/>
    <w:rsid w:val="00E3157C"/>
    <w:rsid w:val="00E319B1"/>
    <w:rsid w:val="00E327A6"/>
    <w:rsid w:val="00E330BC"/>
    <w:rsid w:val="00E33F02"/>
    <w:rsid w:val="00E36175"/>
    <w:rsid w:val="00E36380"/>
    <w:rsid w:val="00E3684F"/>
    <w:rsid w:val="00E36ED9"/>
    <w:rsid w:val="00E41553"/>
    <w:rsid w:val="00E41FA4"/>
    <w:rsid w:val="00E4562F"/>
    <w:rsid w:val="00E45B75"/>
    <w:rsid w:val="00E47D3B"/>
    <w:rsid w:val="00E52DAF"/>
    <w:rsid w:val="00E5386C"/>
    <w:rsid w:val="00E5492F"/>
    <w:rsid w:val="00E572B1"/>
    <w:rsid w:val="00E57D87"/>
    <w:rsid w:val="00E61B33"/>
    <w:rsid w:val="00E6369A"/>
    <w:rsid w:val="00E63D69"/>
    <w:rsid w:val="00E70A86"/>
    <w:rsid w:val="00E72849"/>
    <w:rsid w:val="00E73E50"/>
    <w:rsid w:val="00E74E41"/>
    <w:rsid w:val="00E777EC"/>
    <w:rsid w:val="00E80FCD"/>
    <w:rsid w:val="00E84165"/>
    <w:rsid w:val="00E853C7"/>
    <w:rsid w:val="00E92E6F"/>
    <w:rsid w:val="00EA0130"/>
    <w:rsid w:val="00EA2226"/>
    <w:rsid w:val="00EA4667"/>
    <w:rsid w:val="00EA7DB0"/>
    <w:rsid w:val="00EA7F2F"/>
    <w:rsid w:val="00EB1F85"/>
    <w:rsid w:val="00EB297C"/>
    <w:rsid w:val="00EB3266"/>
    <w:rsid w:val="00EB3A98"/>
    <w:rsid w:val="00EB4455"/>
    <w:rsid w:val="00EB576F"/>
    <w:rsid w:val="00EB6590"/>
    <w:rsid w:val="00EC00DE"/>
    <w:rsid w:val="00EC21DF"/>
    <w:rsid w:val="00EC30E1"/>
    <w:rsid w:val="00EC3436"/>
    <w:rsid w:val="00EC3B70"/>
    <w:rsid w:val="00EC6344"/>
    <w:rsid w:val="00EC66BB"/>
    <w:rsid w:val="00ED172A"/>
    <w:rsid w:val="00ED4266"/>
    <w:rsid w:val="00ED7FA8"/>
    <w:rsid w:val="00EE01DC"/>
    <w:rsid w:val="00EE0426"/>
    <w:rsid w:val="00EE0ABD"/>
    <w:rsid w:val="00EE231F"/>
    <w:rsid w:val="00EE349D"/>
    <w:rsid w:val="00EE3546"/>
    <w:rsid w:val="00EE4870"/>
    <w:rsid w:val="00EE5563"/>
    <w:rsid w:val="00EE76E1"/>
    <w:rsid w:val="00EF01E6"/>
    <w:rsid w:val="00EF05E0"/>
    <w:rsid w:val="00EF0FEB"/>
    <w:rsid w:val="00EF3603"/>
    <w:rsid w:val="00EF45C7"/>
    <w:rsid w:val="00EF644E"/>
    <w:rsid w:val="00F01304"/>
    <w:rsid w:val="00F02323"/>
    <w:rsid w:val="00F034A2"/>
    <w:rsid w:val="00F03712"/>
    <w:rsid w:val="00F05130"/>
    <w:rsid w:val="00F14AB3"/>
    <w:rsid w:val="00F14BEC"/>
    <w:rsid w:val="00F210BF"/>
    <w:rsid w:val="00F224B7"/>
    <w:rsid w:val="00F225C5"/>
    <w:rsid w:val="00F2433A"/>
    <w:rsid w:val="00F2480C"/>
    <w:rsid w:val="00F2587A"/>
    <w:rsid w:val="00F33470"/>
    <w:rsid w:val="00F33906"/>
    <w:rsid w:val="00F34E02"/>
    <w:rsid w:val="00F3715D"/>
    <w:rsid w:val="00F37A10"/>
    <w:rsid w:val="00F41AEA"/>
    <w:rsid w:val="00F420C8"/>
    <w:rsid w:val="00F42576"/>
    <w:rsid w:val="00F42A4C"/>
    <w:rsid w:val="00F526BD"/>
    <w:rsid w:val="00F60A13"/>
    <w:rsid w:val="00F61821"/>
    <w:rsid w:val="00F61CA6"/>
    <w:rsid w:val="00F62C1C"/>
    <w:rsid w:val="00F634A1"/>
    <w:rsid w:val="00F660D0"/>
    <w:rsid w:val="00F77F73"/>
    <w:rsid w:val="00F960D5"/>
    <w:rsid w:val="00FA19AA"/>
    <w:rsid w:val="00FA23CC"/>
    <w:rsid w:val="00FA3C55"/>
    <w:rsid w:val="00FB2D60"/>
    <w:rsid w:val="00FB7512"/>
    <w:rsid w:val="00FC1084"/>
    <w:rsid w:val="00FC17DD"/>
    <w:rsid w:val="00FC3B7F"/>
    <w:rsid w:val="00FC4977"/>
    <w:rsid w:val="00FC54C6"/>
    <w:rsid w:val="00FD0A92"/>
    <w:rsid w:val="00FD1195"/>
    <w:rsid w:val="00FD7547"/>
    <w:rsid w:val="00FE287B"/>
    <w:rsid w:val="00FE6B50"/>
    <w:rsid w:val="00FF1B03"/>
    <w:rsid w:val="00FF3E26"/>
    <w:rsid w:val="00FF48A8"/>
    <w:rsid w:val="00FF55B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62901F0E-C6BF-453E-9DDA-71ADEEFA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Footnote Snez"/>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2"/>
      </w:numPr>
      <w:ind w:left="567" w:hanging="567"/>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uiPriority w:val="6"/>
    <w:qFormat/>
    <w:rsid w:val="00DD265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Footnote Snez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uiPriority w:val="99"/>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qFormat/>
    <w:rsid w:val="00D26572"/>
    <w:pPr>
      <w:ind w:left="720"/>
      <w:contextualSpacing/>
    </w:pPr>
  </w:style>
  <w:style w:type="paragraph" w:styleId="NoSpacing">
    <w:name w:val="No Spacing"/>
    <w:uiPriority w:val="20"/>
    <w:rsid w:val="00A7422F"/>
    <w:pPr>
      <w:widowControl w:val="0"/>
    </w:pPr>
    <w:rPr>
      <w:rFonts w:ascii="Arial" w:hAnsi="Arial"/>
      <w:sz w:val="22"/>
      <w:szCs w:val="24"/>
      <w:lang w:eastAsia="en-US" w:bidi="en-US"/>
    </w:rPr>
  </w:style>
  <w:style w:type="paragraph" w:customStyle="1" w:styleId="AARBullet">
    <w:name w:val="AAR Bullet"/>
    <w:basedOn w:val="Normal"/>
    <w:qFormat/>
    <w:rsid w:val="00A7422F"/>
    <w:pPr>
      <w:widowControl/>
      <w:numPr>
        <w:numId w:val="12"/>
      </w:numPr>
      <w:spacing w:before="60" w:after="60"/>
    </w:pPr>
    <w:rPr>
      <w:rFonts w:cs="Arial"/>
      <w:sz w:val="20"/>
      <w:lang w:val="en-AU" w:bidi="ar-SA"/>
    </w:rPr>
  </w:style>
  <w:style w:type="table" w:customStyle="1" w:styleId="TableGrid2">
    <w:name w:val="Table Grid2"/>
    <w:basedOn w:val="TableNormal"/>
    <w:next w:val="TableGrid"/>
    <w:uiPriority w:val="59"/>
    <w:rsid w:val="00A742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4-Accent3">
    <w:name w:val="List Table 4 Accent 3"/>
    <w:basedOn w:val="TableNormal"/>
    <w:uiPriority w:val="49"/>
    <w:rsid w:val="000B74E8"/>
    <w:rPr>
      <w:rFonts w:ascii="Arial" w:eastAsiaTheme="minorHAnsi" w:hAnsi="Arial" w:cs="Arial"/>
      <w:sz w:val="22"/>
      <w:szCs w:val="22"/>
      <w:lang w:val="en-AU"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2782539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05842726">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66612910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health.govt.nz/publication/food-and-nutritionguidelines-healthy-infants-and-toddlers-aged-0-2-background-paper-partially" TargetMode="External"/><Relationship Id="rId3" Type="http://schemas.openxmlformats.org/officeDocument/2006/relationships/customXml" Target="../customXml/item3.xml"/><Relationship Id="rId21" Type="http://schemas.openxmlformats.org/officeDocument/2006/relationships/hyperlink" Target="https://www.legislation.gov.au/Details/C2018C00243"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nhmrc.gov.au/about-us/publications/infant-feeding-guidelines-information-health-workers" TargetMode="External"/><Relationship Id="rId33" Type="http://schemas.openxmlformats.org/officeDocument/2006/relationships/hyperlink" Target="https://www.accessdata.fda.gov/scripts/fdcc/?set=GRASNotices&amp;id=749&amp;sort=GRN_No&amp;order=DESC&amp;startrow=1&amp;type=basic&amp;search=749"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190.aspx" TargetMode="External"/><Relationship Id="rId20" Type="http://schemas.openxmlformats.org/officeDocument/2006/relationships/hyperlink" Target="https://www.foodstandards.gov.au/code/applications/Pages/A1190.aspx" TargetMode="External"/><Relationship Id="rId29" Type="http://schemas.openxmlformats.org/officeDocument/2006/relationships/hyperlink" Target="https://www.accessdata.fda.gov/scripts/fdcc/index.cfm?set=GRASNotices&amp;id=57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ur-lex.europa.eu/legal-content/EN/TXT/?qid=1558669116773&amp;uri=CELEX:32018R1023" TargetMode="External"/><Relationship Id="rId32" Type="http://schemas.openxmlformats.org/officeDocument/2006/relationships/hyperlink" Target="https://www.accessdata.fda.gov/scripts/fdcc/?set=GRASNotices&amp;id=735&amp;sort=GRN_No&amp;order=DESC&amp;startrow=1&amp;type=basic&amp;search=735" TargetMode="External"/><Relationship Id="rId36"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s://eur-lex.europa.eu/legal-content/EN/TXT/?uri=CELEX%3A32017D2201" TargetMode="External"/><Relationship Id="rId28" Type="http://schemas.openxmlformats.org/officeDocument/2006/relationships/hyperlink" Target="https://sso.agc.gov.sg/SL-Supp/S146-2018/Published/20180327?DocDate=20180327"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https://www.fda.gov/regulatory-information/search-fda-guidance-documents/guidance-industry-labeling-infant-formula" TargetMode="External"/><Relationship Id="rId35"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TXT/?uri=CELEX:32016R0127" TargetMode="External"/><Relationship Id="rId27" Type="http://schemas.openxmlformats.org/officeDocument/2006/relationships/hyperlink" Target="https://www.ncbi.nlm.nih.gov/pmc/articles/PMC6213476/" TargetMode="External"/><Relationship Id="rId30" Type="http://schemas.openxmlformats.org/officeDocument/2006/relationships/hyperlink" Target="https://www.accessdata.fda.gov/scripts/fdcc/?set=GRASNotices&amp;id=650&amp;sort=GRN_No&amp;order=DESC&amp;startrow=1&amp;type=basic&amp;search=gly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odstandards.gov.au/code/applications/Documents/A1155%20Review%20Report.pdf" TargetMode="External"/><Relationship Id="rId3" Type="http://schemas.openxmlformats.org/officeDocument/2006/relationships/hyperlink" Target="https://foodregulation.gov.au/internet/fr/publishing.nsf/Content/forum-communique-2020-November27" TargetMode="External"/><Relationship Id="rId7" Type="http://schemas.openxmlformats.org/officeDocument/2006/relationships/hyperlink" Target="https://www.foodstandards.gov.au/code/applications/Documents/A1155%20Approval%20Report%20for%20web.pdf" TargetMode="External"/><Relationship Id="rId2" Type="http://schemas.openxmlformats.org/officeDocument/2006/relationships/hyperlink" Target="https://foodregulation.gov.au/internet/fr/publishing.nsf/Content/forum-communique-2020-November27" TargetMode="External"/><Relationship Id="rId1" Type="http://schemas.openxmlformats.org/officeDocument/2006/relationships/hyperlink" Target="https://foodregulation.gov.au/internet/fr/publishing.nsf/Content/food-policies" TargetMode="External"/><Relationship Id="rId6" Type="http://schemas.openxmlformats.org/officeDocument/2006/relationships/hyperlink" Target="https://foodregulation.gov.au/internet/fr/publishing.nsf/Content/forum-communique-2020-November27" TargetMode="External"/><Relationship Id="rId11" Type="http://schemas.openxmlformats.org/officeDocument/2006/relationships/hyperlink" Target="https://foodregulation.gov.au/internet/fr/publishing.nsf/Content/forum-communique-2020-November27" TargetMode="External"/><Relationship Id="rId5" Type="http://schemas.openxmlformats.org/officeDocument/2006/relationships/hyperlink" Target="https://eur-lex.europa.eu/legal-content/EN/ALL/?uri=uriserv:OJ.L_.2013.181.01.0035.01.ENG" TargetMode="External"/><Relationship Id="rId10" Type="http://schemas.openxmlformats.org/officeDocument/2006/relationships/hyperlink" Target="https://foodregulation.gov.au/internet/fr/publishing.nsf/Content/forum-communique-2020-November27" TargetMode="External"/><Relationship Id="rId4" Type="http://schemas.openxmlformats.org/officeDocument/2006/relationships/hyperlink" Target="http://www.fao.org/fao-who-codexalimentarius/home/en/" TargetMode="External"/><Relationship Id="rId9" Type="http://schemas.openxmlformats.org/officeDocument/2006/relationships/hyperlink" Target="https://foodregulation.gov.au/internet/fr/publishing.nsf/Content/forum-communique-2020-November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35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Abstract xmlns="5759555f-5bed-45a4-a4c2-4e28e2623455" xsi:nil="true"/>
    <Agenda xmlns="5759555f-5bed-45a4-a4c2-4e28e2623455" xsi:nil="true"/>
    <Attachement xmlns="5759555f-5bed-45a4-a4c2-4e28e2623455">true</Attachement>
    <Hyperlink xmlns="5759555f-5bed-45a4-a4c2-4e28e2623455">
      <Url xsi:nil="true"/>
      <Description xsi:nil="true"/>
    </Hyperlink>
    <Links xmlns="5759555f-5bed-45a4-a4c2-4e28e2623455" xsi:nil="true"/>
    <_dlc_DocId xmlns="5759555f-5bed-45a4-a4c2-4e28e2623455">MMF7YEMDTSDN-221-53818</_dlc_DocId>
    <_dlc_DocIdPersistId xmlns="5759555f-5bed-45a4-a4c2-4e28e2623455" xsi:nil="true"/>
    <_dlc_DocIdUrl xmlns="5759555f-5bed-45a4-a4c2-4e28e2623455">
      <Url>http://fsintranet/IWG/Board/_layouts/15/DocIdRedir.aspx?ID=MMF7YEMDTSDN-221-53818</Url>
      <Description>MMF7YEMDTSDN-221-53818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1A84-06EF-4A7D-A471-B4978A192AD6}"/>
</file>

<file path=customXml/itemProps2.xml><?xml version="1.0" encoding="utf-8"?>
<ds:datastoreItem xmlns:ds="http://schemas.openxmlformats.org/officeDocument/2006/customXml" ds:itemID="{8D58945C-8A53-45CD-A99D-85691F66F573}"/>
</file>

<file path=customXml/itemProps3.xml><?xml version="1.0" encoding="utf-8"?>
<ds:datastoreItem xmlns:ds="http://schemas.openxmlformats.org/officeDocument/2006/customXml" ds:itemID="{E8C17B0E-1371-4C3A-A8B0-5A271CD71A26}"/>
</file>

<file path=customXml/itemProps4.xml><?xml version="1.0" encoding="utf-8"?>
<ds:datastoreItem xmlns:ds="http://schemas.openxmlformats.org/officeDocument/2006/customXml" ds:itemID="{1C4298DD-7D1B-4D19-A468-E8FDA05B82EA}">
  <ds:schemaRefs>
    <ds:schemaRef ds:uri="http://schemas.microsoft.com/office/2006/metadata/customXsn"/>
  </ds:schemaRefs>
</ds:datastoreItem>
</file>

<file path=customXml/itemProps5.xml><?xml version="1.0" encoding="utf-8"?>
<ds:datastoreItem xmlns:ds="http://schemas.openxmlformats.org/officeDocument/2006/customXml" ds:itemID="{8D58945C-8A53-45CD-A99D-85691F66F573}">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6.xml><?xml version="1.0" encoding="utf-8"?>
<ds:datastoreItem xmlns:ds="http://schemas.openxmlformats.org/officeDocument/2006/customXml" ds:itemID="{E37557D4-82DD-4040-9270-1261665B839C}"/>
</file>

<file path=customXml/itemProps7.xml><?xml version="1.0" encoding="utf-8"?>
<ds:datastoreItem xmlns:ds="http://schemas.openxmlformats.org/officeDocument/2006/customXml" ds:itemID="{3DFF9811-AECA-49C6-A9BC-9ADBF950679F}"/>
</file>

<file path=customXml/itemProps8.xml><?xml version="1.0" encoding="utf-8"?>
<ds:datastoreItem xmlns:ds="http://schemas.openxmlformats.org/officeDocument/2006/customXml" ds:itemID="{2BC51A84-06EF-4A7D-A471-B4978A19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3886</TotalTime>
  <Pages>44</Pages>
  <Words>15114</Words>
  <Characters>86151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101063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RyrieH</dc:creator>
  <cp:lastModifiedBy>Tailee Vecchi</cp:lastModifiedBy>
  <cp:revision>340</cp:revision>
  <cp:lastPrinted>2011-11-14T22:43:00Z</cp:lastPrinted>
  <dcterms:created xsi:type="dcterms:W3CDTF">2021-09-13T00:33:00Z</dcterms:created>
  <dcterms:modified xsi:type="dcterms:W3CDTF">2021-11-05T00:31:00Z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4bf55fad-0584-420f-881d-10bc0b9ead2c</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35;#Evaluation|43bd8487-b9f6-4055-946c-a118d364275d</vt:lpwstr>
  </property>
  <property fmtid="{D5CDD505-2E9C-101B-9397-08002B2CF9AE}" pid="8" name="_dlc_DocIdItemGuid">
    <vt:lpwstr>7f7225de-9881-47d4-ae0a-01bfc820e093</vt:lpwstr>
  </property>
  <property fmtid="{D5CDD505-2E9C-101B-9397-08002B2CF9AE}" pid="9" name="RecordPoint_WorkflowType">
    <vt:lpwstr>ActiveSubmitStub</vt:lpwstr>
  </property>
  <property fmtid="{D5CDD505-2E9C-101B-9397-08002B2CF9AE}" pid="10" name="RecordPoint_ActiveItemUniqueId">
    <vt:lpwstr>{7f7225de-9881-47d4-ae0a-01bfc820e093}</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R0000190202</vt:lpwstr>
  </property>
  <property fmtid="{D5CDD505-2E9C-101B-9397-08002B2CF9AE}" pid="15" name="RecordPoint_SubmissionCompleted">
    <vt:lpwstr>2021-10-11T09:30:12.4876615+11:00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